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177165</wp:posOffset>
            </wp:positionV>
            <wp:extent cx="1140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195580</wp:posOffset>
            </wp:positionV>
            <wp:extent cx="1140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November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189230</wp:posOffset>
            </wp:positionV>
            <wp:extent cx="1140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438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195580</wp:posOffset>
            </wp:positionV>
            <wp:extent cx="1140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Gjerdrums vei 19,</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0484 Oslo, Norway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580"/>
        <w:spacing w:after="0"/>
        <w:tabs>
          <w:tab w:leader="none" w:pos="5920" w:val="left"/>
        </w:tabs>
        <w:rPr>
          <w:sz w:val="20"/>
          <w:szCs w:val="20"/>
          <w:color w:val="auto"/>
        </w:rPr>
      </w:pPr>
      <w:r>
        <w:rPr>
          <w:rFonts w:ascii="Arial" w:cs="Arial" w:eastAsia="Arial" w:hAnsi="Arial"/>
          <w:sz w:val="18"/>
          <w:szCs w:val="18"/>
          <w:color w:val="auto"/>
        </w:rPr>
        <w:t>Form 20-F þ</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647065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1" w:name="page2"/>
    <w:bookmarkEnd w:id="1"/>
    <w:p>
      <w:pPr>
        <w:jc w:val="center"/>
        <w:ind w:right="-120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Opera Limited</w:t>
      </w:r>
    </w:p>
    <w:p>
      <w:pPr>
        <w:spacing w:after="0" w:line="252"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/s/Yahui Zhou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2581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Title:</w:t>
        <w:tab/>
        <w:t>Chairman of the Board and</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8" w:right="71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Limited announces third quarter 2018 financial results and initiation of share repurchase program</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Revenue of $44.7 million, with 56.8% year-over-year growth of advertising revenue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All-time-high operating profit, net income, adjusted EBITDA and adjusted net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Opera News average MAUs reached 121.4 million in the quarter, adding over 20 million MAUs versus the second quarter average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Opera initiates a share repurchase program of up to 1.5 million ADSs</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Oslo, Norway, November 8, 2018 – Opera Limited (Nasdaq: OPRA) (“Opera”), one of the world’s leading browser providers and an influential player in the field of integrated AI-driven digital content discovery and recommendation platforms, today announced its unaudited consolidated financial results for the third quarter ended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2018 financial highlights</w:t>
      </w:r>
    </w:p>
    <w:p>
      <w:pPr>
        <w:spacing w:after="0" w:line="256" w:lineRule="exact"/>
        <w:rPr>
          <w:sz w:val="20"/>
          <w:szCs w:val="20"/>
          <w:color w:val="auto"/>
        </w:rPr>
      </w:pPr>
    </w:p>
    <w:p>
      <w:pPr>
        <w:ind w:left="660" w:right="58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revenue reached $44.7 million, a year-over-year increase of 17.4%, or 40.1% when excluding the “technology licensing and other” revenue category.</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was $9.7 million, representing a net margin of 21.8%, compared to a net income of $7.5 million in the third quarter of 2017, or a net margin of 19.8%.</w:t>
      </w:r>
    </w:p>
    <w:p>
      <w:pPr>
        <w:ind w:left="660" w:hanging="328"/>
        <w:spacing w:after="0" w:line="182" w:lineRule="auto"/>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Adjusted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$16.5 million, representing an adjusted EBITDA margin of 36.9%, compared to $14.5 million in the third quarter of 2017, or an adjusted net margin of 38.1%.</w:t>
      </w:r>
    </w:p>
    <w:p>
      <w:pPr>
        <w:spacing w:after="0" w:line="1" w:lineRule="exact"/>
        <w:rPr>
          <w:rFonts w:ascii="Arial" w:cs="Arial" w:eastAsia="Arial" w:hAnsi="Arial"/>
          <w:sz w:val="36"/>
          <w:szCs w:val="36"/>
          <w:color w:val="auto"/>
          <w:vertAlign w:val="superscript"/>
        </w:rPr>
      </w:pPr>
    </w:p>
    <w:p>
      <w:pPr>
        <w:ind w:left="660" w:right="460" w:hanging="328"/>
        <w:spacing w:after="0" w:line="182" w:lineRule="auto"/>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Adjusted net income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$12.5 million, representing an adjusted net margin of 28.0%. Adjusted net income per ADS was $0.12. Adjusted net income was $11.7 million in the third quarter of 2017, or an adjusted net margin of 30.8%.</w:t>
      </w:r>
    </w:p>
    <w:p>
      <w:pPr>
        <w:spacing w:after="0" w:line="20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Third quarter 2017 results included $5.5 million of other income associated with the divestment of certain intellectual property and $6.4 million of licensing revenue associated with a related technology license agreement. As a result, relative to full-year 2017 values, the third quarter of 2017 represented 104% of operating profit and 124% of net income, as well as 42% of adjusted EBITDA and 66% of adjusted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Please see the separate section “About non-IFRS financial measures” for details on adjusted EBITDA and adjusted net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2018 user base highlights</w:t>
      </w:r>
    </w:p>
    <w:p>
      <w:pPr>
        <w:spacing w:after="0" w:line="25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 News average Monthly Active Users (“ MAUs”) was 121.4 million (+209.2%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dedicated Opera News app, launched in January 2018, reached 17.4 million average MAUs.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smartphone MAUs reached an average 195.4 million (+14.0%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PC MAUs reached an average 58.4 million (+18.3% year-over-year).</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excited to report another record quarter for both revenue and profits, as well as all-time highs for both smartphone and PC users,” Mr. Yahui Zhou, Opera’s Chairman and CEO, stated. “We are successfully executing on our strategy to build new and engaging services and offerings on top of our existing assets. We continue to focus our growth efforts on Africa, where our strong technology platform positions us on an attractive trajectory on top of compelling macro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line="272" w:lineRule="auto"/>
        <w:rPr>
          <w:sz w:val="20"/>
          <w:szCs w:val="20"/>
          <w:color w:val="auto"/>
        </w:rPr>
      </w:pPr>
      <w:r>
        <w:rPr>
          <w:rFonts w:ascii="Arial" w:cs="Arial" w:eastAsia="Arial" w:hAnsi="Arial"/>
          <w:sz w:val="17"/>
          <w:szCs w:val="17"/>
          <w:color w:val="auto"/>
        </w:rPr>
        <w:t>“Our top priority remains the continued growth of our AI-based content platform, Opera News, which added over 20 million users in the quarter. Further, we recently announced an investment in the fast-growing social music community StarMaker, where Opera also holds an option to acquire a majority ownership in the future. This broadens our content play to include a platform with highly engaged users that are consuming significant amounts of mobile music content. At the same time, we are positioning Opera for additional growth opportunities. Our affiliate, OPay, a platform for mobile money, microcredit and e-commerce, grew daily transaction volumes from zero to over $200,000 within the third quarter, and again nearly tripled that towards $700,000 per day by the end of October. In this context, we have also taken steps towards related retailing opportunities, starting with prepaid airtime and data. Airtime and data are interesting in the payment context because of a near currency-like function in many regions.”</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Mr. Lin Song, Opera’s COO, highlighted, “We remain dedicated to lead and attract users by feature-rich products and to stay at the forefront of innovation. During the third quarter, we announced exciting new features, including a cryptocurrency wallet for our mobile and PC browsers. Recently, we also released the innovative Opera Touch browser for iPhones, making our portfolio of applications more complete. Further, distribution through our first mobile OEM partners for the dedicated Opera News app started reaching scale in the quarter, and we leveraged the FIFA World Cup to continue raising market awareness. The result was an increase in our quarterly average smartphone user base by over 13.2 million MAUs (up 7.3% versus prior quarter average), with continued strong adoption of Opera News both among our browser users and for the dedicated app.”</w:t>
      </w:r>
    </w:p>
    <w:p>
      <w:pPr>
        <w:spacing w:after="0" w:line="1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Mr. Frode Jacobsen, Opera’s CFO, said, “We delivered a strong third quarter with record results across all key metrics. We remain focused on our revenue growth opportunity, believing we are still in the early stages of capturing our monetization potential. Our levers include optimizing the ad load and ad unit formats as well as inventory allocation, and also initiating monetization of the dedicated Opera News app, which we expect before the end of the fourth quarter.”</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further strengthened our balance sheet following our IPO and concurrent private placements (CPPs) in the third quarter, resulting in $167.2 million of net proceeds after transaction costs. We offered 19.2 million shares in the IPO, and our underwriters chose to purchase an additional 0.67 million shares. This totaled 19.87 million new shares, corresponding to 9.93 million ADSs that were sold at $12.0 each. In addition, we sold 10.0 million shares in the CPPs at the same valuation.”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 today announced that its board of directors has approved a corporate share repurchase program of up to 1.5 million ADSs to be purchased on the open market, commencing on Monday, November 12, 2018.</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“Since our IPO, we have observed a decline in our share price, which in our view is not related to the performance of our business nor the prospects for our company”, said Mr. Jacobsen. “As a result, our board of directors has decided to initiate a share repurchase program, underscoring our commitment to delivering returns for our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in StarMaker</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November 5, 2018, Opera announced a $30 million strategic investment in StarMaker, a fast-growing and technology-driven social media company focused on music and entertainment. StarMaker enables users to record and share their own music videos, collaborate with other musicians, connect with other users and follow their idols on the social platform.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 of StarMaker include:</w:t>
      </w:r>
    </w:p>
    <w:p>
      <w:pPr>
        <w:spacing w:after="0" w:line="2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 million MAUs, with an average daily time spend of 50 minutes.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2018 quarterly revenues have increased 110% year-to-date.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Emerging market footprint similar to Opera, ranking the #1 singing app in India and top-2 across the Middle East and Indonesia.</w:t>
      </w:r>
    </w:p>
    <w:p>
      <w:pPr>
        <w:spacing w:after="0" w:line="204"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“Starmaker is on a great trajectory towards becoming a substantial and highly valuable social platform centered around music”, said Mr. Song. “Opera’s cash investment will support the company’s continued investment in growth, and in parallel we see mutually beneficial opportunities for collaboration. Opera invested at a valuation of $125 million, corresponding to an attractive multiple on 2019 revenue expectations, and maintains a combination of flexibility and protection through an option to take a controlling ownership stake paired with guarantees and rights tied to our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Third quarter 2018 consolidated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in the following are relative to the third quarter of 2017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revenue </w:t>
      </w:r>
      <w:r>
        <w:rPr>
          <w:rFonts w:ascii="Arial" w:cs="Arial" w:eastAsia="Arial" w:hAnsi="Arial"/>
          <w:sz w:val="18"/>
          <w:szCs w:val="18"/>
          <w:color w:val="auto"/>
        </w:rPr>
        <w:t>overall increased 17.4% to $44.7 million</w:t>
      </w:r>
    </w:p>
    <w:p>
      <w:pPr>
        <w:spacing w:after="0" w:line="27" w:lineRule="exact"/>
        <w:rPr>
          <w:sz w:val="20"/>
          <w:szCs w:val="20"/>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Search revenue increased 12.3% to $19.1 million, driven by an increase in average revenue per qualified search following improved monetization by our search partners.</w:t>
      </w:r>
    </w:p>
    <w:p>
      <w:pPr>
        <w:ind w:left="980" w:right="1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Advertising revenue increased 56.8% to $17.6 million. The substantial lift follows the commencement of direct sales advertising campaigns on our Opera News inventory, as well as the continued increase in the associated user base, and a continuation of our ability to help e-commerce and other partners grow their revenues from which we collect a revenue share.</w:t>
      </w:r>
    </w:p>
    <w:p>
      <w:pPr>
        <w:spacing w:after="0" w:line="1" w:lineRule="exact"/>
        <w:rPr>
          <w:rFonts w:ascii="Arial" w:cs="Arial" w:eastAsia="Arial" w:hAnsi="Arial"/>
          <w:sz w:val="18"/>
          <w:szCs w:val="18"/>
          <w:color w:val="auto"/>
        </w:rPr>
      </w:pPr>
    </w:p>
    <w:p>
      <w:pPr>
        <w:jc w:val="both"/>
        <w:ind w:left="980" w:hanging="324"/>
        <w:spacing w:after="0" w:line="265"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Retail revenue was $2.9 million in this first quarter of material activity. Our focus has been to start building scale within the area of prepaid airtime and data, retailed to local consumers and wholesalers. At the current stage and volume, the activity does not produce a profit contribution, but represents an area that may scale substantially at improved margins and form a basis for a wider retail opportunity.</w:t>
      </w:r>
    </w:p>
    <w:p>
      <w:pPr>
        <w:ind w:left="980" w:right="300" w:hanging="324"/>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licensing and other revenue decreased 48.0% to $5.1 million. This revenue category is volatile in nature, as it largely follows the timing of underlying support and licensing agreements, and the third quarter of 2017 represented an extraordinary quarter in terms of such agreements.</w:t>
      </w:r>
    </w:p>
    <w:p>
      <w:pPr>
        <w:spacing w:after="0" w:line="18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totaled $32.8 million, representing 0.0% change year-over-year. Operating expenses represented 73.5% of operating revenue in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2018, compared to 86.3% in the third quarter 2017.</w:t>
      </w:r>
    </w:p>
    <w:p>
      <w:pPr>
        <w:ind w:left="980" w:right="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Payouts to publishers and monetization partners were $5.5 million, compared to $0.4 million in the third quarter 2017. This category is growing as the monetization of our user base evolves, with both content and service partnerships supporting the growth, as well as the introduction of retail revenue in the current quarter that does not initially generate a positive margin.</w:t>
      </w:r>
    </w:p>
    <w:p>
      <w:pPr>
        <w:spacing w:after="0" w:line="1"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Personnel expenses were $9.4 million, a 24.7% decline. This consisted of cash-based compensation expense of $8.6 million, a 4.7% decrease, and share-based remuneration expense of $0.8 million, a 77.8% decrease from $3.4 million in the third quarter 2017. The reduction in share-based remuneration was related to a reduction in accrued social security cost following the share price decline in the quarter and a specific country adjustment, and the fact that share-based remuneration expense was elevated in 2017 because it was the first year of a new employee Restricted Share Unit program.</w:t>
      </w:r>
    </w:p>
    <w:p>
      <w:pPr>
        <w:spacing w:after="0" w:line="2" w:lineRule="exact"/>
        <w:rPr>
          <w:rFonts w:ascii="Arial" w:cs="Arial" w:eastAsia="Arial" w:hAnsi="Arial"/>
          <w:sz w:val="18"/>
          <w:szCs w:val="18"/>
          <w:color w:val="auto"/>
        </w:rPr>
      </w:pPr>
    </w:p>
    <w:p>
      <w:pPr>
        <w:ind w:left="980" w:right="20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expenses were $3.1 million, a 38.8% decrease. The decline is largely the result of equipment in use that is fully depreciated.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left="980" w:right="60" w:hanging="324"/>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operating expenses were $14.9 million, a 5.3% increase. The increase was primarily due to audit, legal and other advisory services during our IPO preparations, totaling $1.9 million in the quarter, which were 134.1% higher than the third quarter 2017. The other expenses in the category, including marketing and distribution, hosting, office and rent, software license fees, travel and other, totaled $13.0 million, a decrease of 2.4%.</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cost was zero, compared with $0.9 million in the third quarter 2017.</w:t>
      </w:r>
    </w:p>
    <w:p>
      <w:pPr>
        <w:spacing w:after="0" w:line="20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reached $11.8 million in the quarter, representing an operating margin of 26.5%, compared to a $10.7 million operating profit in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2017, representing a 28.1% margin.</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was $1.0 million in the quarter, compared to $1.6 million in the third quarter 2017. Our effective tax rate was 9.1% in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2018, lowered by tax provision adjustments as local filings have been completed.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was $9.7 million in the quarter, compared to $7.5 million in the third quarter of 2017.</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Net income per ADS </w:t>
      </w:r>
      <w:r>
        <w:rPr>
          <w:rFonts w:ascii="Arial" w:cs="Arial" w:eastAsia="Arial" w:hAnsi="Arial"/>
          <w:sz w:val="18"/>
          <w:szCs w:val="18"/>
          <w:color w:val="auto"/>
        </w:rPr>
        <w:t>was $0.093 in the quarter, and $0.090 on a diluted basis.</w:t>
      </w:r>
      <w:r>
        <w:rPr>
          <w:rFonts w:ascii="Arial" w:cs="Arial" w:eastAsia="Arial" w:hAnsi="Arial"/>
          <w:sz w:val="18"/>
          <w:szCs w:val="18"/>
          <w:b w:val="1"/>
          <w:bCs w:val="1"/>
          <w:color w:val="auto"/>
        </w:rPr>
        <w:t xml:space="preserve"> Adjusted net income per ADS </w:t>
      </w:r>
      <w:r>
        <w:rPr>
          <w:rFonts w:ascii="Arial" w:cs="Arial" w:eastAsia="Arial" w:hAnsi="Arial"/>
          <w:sz w:val="18"/>
          <w:szCs w:val="18"/>
          <w:color w:val="auto"/>
        </w:rPr>
        <w:t>was $0.119 in the quarter, and $0.115 on a</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basis. Each ADS represents two shares in Opera Limited.</w:t>
      </w:r>
    </w:p>
    <w:p>
      <w:pPr>
        <w:spacing w:after="0" w:line="16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$16.5 million in the third quarter 2018, representing a 36.9% adjusted EBITDA margin. In the third quarter of 2017,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EBITDA was $14.5 million, representing a 38.1% margin. Adjusted EBITDA excludes share-based remuneration, restructuring charges, and expensed IPO related costs of audit, legal and other advisory services.</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was $12.5 million in the third quarter 2018, representing a 28.0% adjusted net margin. In the third quarter of 2017, adjusted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was $11.7 million, representing a 30.8% margin. Adjusted net income excludes share-based remuneration, amortization of intangible assets related to acquisitions (all of which relates to the Opera privatization in 2016), and expensed IPO related costs. Adjusted net income further includes partially offsetting reversals of the tax impacts of the foregoing three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expect fourth quarter 2018 revenue of $48-52 million, with the mid-point representing a 29% year-over-year growth rate. As a result, we are raising our 2018 full-year revenue guidance to a range of $172-176 million (versus $170-175 million in our previous guidance).</w:t>
      </w:r>
    </w:p>
    <w:p>
      <w:pPr>
        <w:spacing w:after="0" w:line="16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Looking beyond the next quarter, we continue to be excited about the growth prospects for the business and comfortably expect to sustain growth rates comparable to the fourth quarter 2018. We benefit from a business model that enables us to carefully manage our performance based on our goals. As such, we plan to continue investing in our business, which we believe will build a foundation for long-term margin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About non-IFRS financial measures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IFRS, we use adjusted EBITDA and adjusted net income,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5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define adjusted EBITDA as net income (loss) excluding income tax expense (benefit), total net financial loss (income), share of net loss (income) of associates and joint ventures, restructuring costs, depreciation and amortization, share-based remuneration and expensed costs related to our recent initial public offering, less other income.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define adjusted net income as net income excluding share-based remuneration, amortization cost related to acquired intangible assets, and expensed costs related to our recent initial public offering, net of the reversal of tax impacts related to such adjustments.</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believe that adjusted EBITDA and adjusted net income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Among other things, management’s quotations and the Business outlook section contain forward-looking statements. These forward-looking statements involve known and unknown risks and uncertainties and are based on current expectations, assumptions, estimates and projections about Opera and the industry. Potential risks and uncertainties include, but are not limited to, those relating to its goals and strategies; its expected development and launch, and market acceptance, of its products and services; its expectations regarding demand for and market acceptance of our brand, platforms and services; our expectations regarding growth in our user base and level of engagement; its ability to attract, retain and monetize users; its ability to continue to develop new technologies and/or upgrade our existing technologies and quarterly variations in its operating results caused by factors beyond its control and global macroeconomic conditions and its potential impact in the markets it has businesses. All information provided in this press release is as of the date hereof, and Opera undertakes no obligation to update any forward-looking statements to reflect subsequent occurring events or circumstances, or changes in its expectations, except as may be required by law. Although Opera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Opera’s filings with the U.S. Securities and Exchange Commission, including its registration statement on Form F-1 filed in connection with its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Opera’s management team will host a conference call at 8:00 AM U.S. Eastern Time (2:00 PM Central European Time, 9:00 PM Beijing/Hong Kong time) on Thursday, November 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dial-in details for the live conference call 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+1 (877) 506-7703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+86 400 682 8609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+852 3011 4522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 +47 2231 0524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+44 (0)203 107 0289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(786) 815-8450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7632999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recorded conference call will be available on the Investor Relations section of Opera’s website at https://investor.opera.com.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Opera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Founded in 1995 in Norway, Opera is one of the world’s leading browser providers and an influential player in the field of integrated AI-driven digital content discovery and recommendation platforms.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363232"/>
        </w:rPr>
        <w:t>Investor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63232"/>
        </w:rPr>
        <w:t>Allise Furlani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investor-relations@opera.com or 212-331-8433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Q3-2017</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Q3-2018</w:t>
            </w: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[Numbers in US$ thousands, except per share amounts]</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(Unaudited)</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(Unaudited)</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(Unaudited)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282525"/>
              </w:rPr>
              <w:t>Operating revenue and other income</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282525"/>
              </w:rPr>
              <w:t>Operating revenue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38,057</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44,667</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90,023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5,460</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282525"/>
              </w:rPr>
              <w:t>Operating expenses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282525"/>
              </w:rPr>
              <w:t>Payouts to publishers and monetization partners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(5,535)</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282525"/>
              </w:rPr>
              <w:t>Personnel expenses including share-based remuneration</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(12,459)</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(9,378)</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282525"/>
              </w:rPr>
              <w:t>Depreciation and amortization</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(4,984)</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(3,051)</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(12,390)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282525"/>
              </w:rPr>
              <w:t>Other operating expenses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(14,118)</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(14,863)</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282525"/>
              </w:rPr>
              <w:t>Restructuring costs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(863)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(2,974)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82525"/>
              </w:rPr>
              <w:t>Total operating expenses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(32,835</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(32,826</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(86,539</w:t>
            </w:r>
          </w:p>
        </w:tc>
        <w:tc>
          <w:tcPr>
            <w:tcW w:w="320" w:type="dxa"/>
            <w:vAlign w:val="bottom"/>
            <w:tcBorders>
              <w:top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(91,855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282525"/>
              </w:rPr>
              <w:t>Operating profit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10,683</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11,841</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8,944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32,086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282525"/>
              </w:rPr>
              <w:t>Income (loss) from associates and joint ventures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282525"/>
              </w:rPr>
              <w:t>Share of net income (loss) of associates and joint ventures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(382)</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(1,757)</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(956)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282525"/>
              </w:rPr>
              <w:t>Net financial income (expenses)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282525"/>
              </w:rPr>
              <w:t>Financial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282525"/>
              </w:rPr>
              <w:t>Financial expense</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282525"/>
              </w:rPr>
              <w:t>Net foreign exchange gains (losses)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282525"/>
              </w:rPr>
              <w:t>Total net financial income (loss)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w:t>
            </w:r>
          </w:p>
        </w:tc>
        <w:tc>
          <w:tcPr>
            <w:tcW w:w="3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w:t>
            </w:r>
          </w:p>
        </w:tc>
        <w:tc>
          <w:tcPr>
            <w:tcW w:w="32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15" w:right="239" w:bottom="1440" w:gutter="0" w:footer="0" w:header="0"/>
        </w:sectPr>
      </w:pPr>
    </w:p>
    <w:p>
      <w:pPr>
        <w:spacing w:after="0"/>
        <w:rPr>
          <w:sz w:val="20"/>
          <w:szCs w:val="20"/>
          <w:color w:val="auto"/>
        </w:rPr>
      </w:pPr>
      <w:r>
        <w:rPr>
          <w:rFonts w:ascii="Arial" w:cs="Arial" w:eastAsia="Arial" w:hAnsi="Arial"/>
          <w:sz w:val="15"/>
          <w:szCs w:val="15"/>
          <w:b w:val="1"/>
          <w:bCs w:val="1"/>
          <w:color w:val="282525"/>
        </w:rPr>
        <w:t>Net income before income taxes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282525"/>
        </w:rPr>
        <w:t>Income tax (expense) benefit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82525"/>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9,146</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10,687</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7,365</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29,541</w:t>
            </w:r>
          </w:p>
        </w:tc>
        <w:tc>
          <w:tcPr>
            <w:tcW w:w="60" w:type="dxa"/>
            <w:vAlign w:val="bottom"/>
          </w:tcPr>
          <w:p>
            <w:pPr>
              <w:spacing w:after="0"/>
              <w:rPr>
                <w:sz w:val="19"/>
                <w:szCs w:val="19"/>
                <w:color w:val="auto"/>
              </w:rPr>
            </w:pP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7,531</w:t>
            </w:r>
          </w:p>
        </w:tc>
        <w:tc>
          <w:tcPr>
            <w:tcW w:w="3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9,717</w:t>
            </w:r>
          </w:p>
        </w:tc>
        <w:tc>
          <w:tcPr>
            <w:tcW w:w="3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4,812</w:t>
            </w:r>
          </w:p>
        </w:tc>
        <w:tc>
          <w:tcPr>
            <w:tcW w:w="3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23,747</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-299720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540" w:space="720"/>
            <w:col w:w="6160"/>
          </w:cols>
          <w:pgMar w:left="240" w:top="715"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3"/>
          </w:tcPr>
          <w:p>
            <w:pPr>
              <w:spacing w:after="0"/>
              <w:rPr>
                <w:sz w:val="20"/>
                <w:szCs w:val="20"/>
                <w:color w:val="auto"/>
              </w:rPr>
            </w:pPr>
            <w:r>
              <w:rPr>
                <w:rFonts w:ascii="Arial" w:cs="Arial" w:eastAsia="Arial" w:hAnsi="Arial"/>
                <w:sz w:val="18"/>
                <w:szCs w:val="18"/>
                <w:b w:val="1"/>
                <w:bCs w:val="1"/>
                <w:color w:val="282525"/>
              </w:rPr>
              <w:t>Profit attributable to:</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282525"/>
              </w:rPr>
              <w:t>Equity holders of the parent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7,531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9,717</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282525"/>
              </w:rPr>
              <w:t>Total attributed</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7,531</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4,812</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Weighted average number of ordinary shares outstanding</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gridSpan w:val="2"/>
          </w:tcPr>
          <w:p>
            <w:pPr>
              <w:spacing w:after="0" w:line="256" w:lineRule="exact"/>
              <w:rPr>
                <w:sz w:val="20"/>
                <w:szCs w:val="20"/>
                <w:color w:val="auto"/>
              </w:rPr>
            </w:pPr>
            <w:r>
              <w:rPr>
                <w:rFonts w:ascii="Arial" w:cs="Arial" w:eastAsia="Arial" w:hAnsi="Arial"/>
                <w:sz w:val="18"/>
                <w:szCs w:val="18"/>
                <w:color w:val="282525"/>
              </w:rPr>
              <w:t>Basic, millions</w:t>
            </w:r>
            <w:r>
              <w:rPr>
                <w:rFonts w:ascii="Arial" w:cs="Arial" w:eastAsia="Arial" w:hAnsi="Arial"/>
                <w:sz w:val="29"/>
                <w:szCs w:val="29"/>
                <w:color w:val="282525"/>
                <w:vertAlign w:val="superscript"/>
              </w:rPr>
              <w:t>(1)</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190.25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209.99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190.25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196.83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282525"/>
              </w:rPr>
              <w:t>Diluted, millions</w:t>
            </w:r>
            <w:r>
              <w:rPr>
                <w:rFonts w:ascii="Arial" w:cs="Arial" w:eastAsia="Arial" w:hAnsi="Arial"/>
                <w:sz w:val="29"/>
                <w:szCs w:val="29"/>
                <w:color w:val="282525"/>
                <w:vertAlign w:val="superscript"/>
              </w:rPr>
              <w:t>(2)</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193.69</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216.82</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192.05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Net income per ordinary share</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282525"/>
              </w:rPr>
              <w:t>Basic, US$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0.040</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0.046</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0.025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282525"/>
              </w:rPr>
              <w:t>Diluted, US$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0.039</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0.045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82525"/>
              </w:rPr>
              <w:t>Net income per ADS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282525"/>
              </w:rPr>
              <w:t>Basic, US$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0.079</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0.093</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0.051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282525"/>
              </w:rPr>
              <w:t>Diluted, US$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0.078</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0.090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200 million shares in Opera Limited were outstanding for all periods presented prior to the Initial Public Offering (IPO), less 9.75 million shares that were surrendered by two shareholders upon completion of the IPO. As of 30 September 2018, the total number of shares outstanding for Opera Limited was 220,119,343.</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net dilutive impact of employee equity awards, all of which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TOTAL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Q3-2017</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Q3-2018</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[Numbers in US$ thousands]</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(Unaudited)</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282525"/>
              </w:rPr>
              <w:t>Net income</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7,531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9,717</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23,747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282525"/>
              </w:rPr>
              <w:t>Other comprehensive income</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282525"/>
              </w:rPr>
              <w:t>Exchange differences on translation of foreign operations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177</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1,659</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282525"/>
              </w:rPr>
              <w:t>Amounts to be reclassified from other comprehensive income to</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282525"/>
              </w:rPr>
              <w:t>statement of operations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40" w:type="dxa"/>
            <w:vAlign w:val="bottom"/>
          </w:tcPr>
          <w:p>
            <w:pPr>
              <w:spacing w:after="0" w:line="178" w:lineRule="exact"/>
              <w:rPr>
                <w:sz w:val="20"/>
                <w:szCs w:val="20"/>
                <w:color w:val="auto"/>
              </w:rPr>
            </w:pPr>
            <w:r>
              <w:rPr>
                <w:rFonts w:ascii="Arial" w:cs="Arial" w:eastAsia="Arial" w:hAnsi="Arial"/>
                <w:sz w:val="18"/>
                <w:szCs w:val="18"/>
                <w:b w:val="1"/>
                <w:bCs w:val="1"/>
                <w:color w:val="282525"/>
                <w:w w:val="94"/>
              </w:rPr>
              <w:t>Other comprehensive income – items that may be reclassified to</w:t>
            </w:r>
          </w:p>
        </w:tc>
        <w:tc>
          <w:tcPr>
            <w:tcW w:w="12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260" w:type="dxa"/>
            <w:vAlign w:val="bottom"/>
            <w:gridSpan w:val="2"/>
          </w:tcPr>
          <w:p>
            <w:pPr>
              <w:spacing w:after="0"/>
              <w:rPr>
                <w:sz w:val="20"/>
                <w:szCs w:val="20"/>
                <w:color w:val="auto"/>
              </w:rPr>
            </w:pPr>
            <w:r>
              <w:rPr>
                <w:rFonts w:ascii="Arial" w:cs="Arial" w:eastAsia="Arial" w:hAnsi="Arial"/>
                <w:sz w:val="18"/>
                <w:szCs w:val="18"/>
                <w:b w:val="1"/>
                <w:bCs w:val="1"/>
                <w:color w:val="282525"/>
              </w:rPr>
              <w:t>net income</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177</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1,659</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7,708</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9,541</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6,471</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282525"/>
              </w:rPr>
              <w:t>Total comprehensive income attributable to:</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282525"/>
              </w:rPr>
              <w:t>Equity holders of the parent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7,708</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9,541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6,471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282525"/>
              </w:rPr>
              <w:t>Non-controlling interests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282525"/>
              </w:rPr>
              <w:t>Total attributed</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7,708</w:t>
            </w:r>
          </w:p>
        </w:tc>
        <w:tc>
          <w:tcPr>
            <w:tcW w:w="3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9,541</w:t>
            </w:r>
          </w:p>
        </w:tc>
        <w:tc>
          <w:tcPr>
            <w:tcW w:w="3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6,471</w:t>
            </w:r>
          </w:p>
        </w:tc>
        <w:tc>
          <w:tcPr>
            <w:tcW w:w="3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[Numbers in US$ thousands]</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282525"/>
              </w:rPr>
              <w:t>Furniture, fixtures and equipment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12,744</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13,460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282525"/>
              </w:rPr>
              <w:t>Intangible assets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120,659</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118,620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282525"/>
              </w:rPr>
              <w:t>Goodwill</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421,578</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421,578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282525"/>
              </w:rPr>
              <w:t>Investments in associates and joint ventures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87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5,517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282525"/>
              </w:rPr>
              <w:t>Other financial assets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1,855</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282525"/>
              </w:rPr>
              <w:t>Deferred tax assets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806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958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557,729</w:t>
            </w: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561,989</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556,165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282525"/>
              </w:rPr>
              <w:t>Trade receivables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34,847</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31,072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282525"/>
              </w:rPr>
              <w:t>Other receivables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6,056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7,865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282525"/>
              </w:rPr>
              <w:t>Prepayments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2,993</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282525"/>
              </w:rPr>
              <w:t>Cash and cash equivalents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33,841</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33,207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217,642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77,736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CCEEFF"/>
            </w:tcBorders>
            <w:vMerge w:val="continue"/>
          </w:tcPr>
          <w:p>
            <w:pPr>
              <w:spacing w:after="0"/>
              <w:rPr>
                <w:sz w:val="20"/>
                <w:szCs w:val="20"/>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635,465</w:t>
            </w:r>
          </w:p>
        </w:tc>
        <w:tc>
          <w:tcPr>
            <w:tcW w:w="34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636,300</w:t>
            </w:r>
          </w:p>
        </w:tc>
        <w:tc>
          <w:tcPr>
            <w:tcW w:w="32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829,629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282525"/>
              </w:rPr>
              <w:t>Contributed equity</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576,531</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576,531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282525"/>
              </w:rPr>
              <w:t>Retained earnings (accumulated deficit)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1,662</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282525"/>
              </w:rPr>
              <w:t>Other components of equity</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1,030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1,605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282525"/>
              </w:rPr>
              <w:t>Equity attributed to shareholders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579,224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583,503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160"/>
              <w:spacing w:after="0"/>
              <w:rPr>
                <w:sz w:val="20"/>
                <w:szCs w:val="20"/>
                <w:color w:val="auto"/>
              </w:rPr>
            </w:pPr>
            <w:r>
              <w:rPr>
                <w:rFonts w:ascii="Arial" w:cs="Arial" w:eastAsia="Arial" w:hAnsi="Arial"/>
                <w:sz w:val="18"/>
                <w:szCs w:val="18"/>
                <w:color w:val="282525"/>
              </w:rPr>
              <w:t>Non-controlling interests</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vMerge w:val="continue"/>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282525"/>
              </w:rPr>
              <w:t>Total equity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579,224</w:t>
            </w:r>
          </w:p>
        </w:tc>
        <w:tc>
          <w:tcPr>
            <w:tcW w:w="3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583,503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777,003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lease liabilities and other loans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3,239</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15,791</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11,828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282525"/>
              </w:rPr>
              <w:t>Other liabilities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1,690</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282525"/>
              </w:rPr>
              <w:t>Total non-current liabilities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20,721</w:t>
            </w:r>
          </w:p>
        </w:tc>
        <w:tc>
          <w:tcPr>
            <w:tcW w:w="34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15,947</w:t>
            </w:r>
          </w:p>
        </w:tc>
        <w:tc>
          <w:tcPr>
            <w:tcW w:w="3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Trade and other payables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21,276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21,401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3,791</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Financial lease liabilities and other loans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2,449</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2,073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282525"/>
              </w:rPr>
              <w:t>Other liabilities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7,011</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8,195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35,521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CCEEFF"/>
            </w:tcBorders>
            <w:vMerge w:val="continue"/>
          </w:tcPr>
          <w:p>
            <w:pPr>
              <w:spacing w:after="0"/>
              <w:rPr>
                <w:sz w:val="20"/>
                <w:szCs w:val="20"/>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56,242</w:t>
            </w:r>
          </w:p>
        </w:tc>
        <w:tc>
          <w:tcPr>
            <w:tcW w:w="34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52,797</w:t>
            </w:r>
          </w:p>
        </w:tc>
        <w:tc>
          <w:tcPr>
            <w:tcW w:w="32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52,626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 EQUITY AND LIABILITIES</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635,465</w:t>
            </w:r>
          </w:p>
        </w:tc>
        <w:tc>
          <w:tcPr>
            <w:tcW w:w="3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636,300</w:t>
            </w:r>
          </w:p>
        </w:tc>
        <w:tc>
          <w:tcPr>
            <w:tcW w:w="3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829,629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Retained</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earnings</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6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Contributed</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(accumulated</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components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[Numbers in US$ thousands]</w:t>
            </w:r>
          </w:p>
        </w:tc>
        <w:tc>
          <w:tcPr>
            <w:tcW w:w="16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equity</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deficit)</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of equity</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 equity</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2017</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576,531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(7,704</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320" w:type="dxa"/>
            <w:vAlign w:val="bottom"/>
            <w:tcBorders>
              <w:top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568,197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4,812</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4,812</w:t>
            </w:r>
          </w:p>
        </w:tc>
        <w:tc>
          <w:tcPr>
            <w:tcW w:w="3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1,659</w:t>
            </w:r>
          </w:p>
        </w:tc>
        <w:tc>
          <w:tcPr>
            <w:tcW w:w="3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transactions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b w:val="1"/>
                <w:bCs w:val="1"/>
                <w:color w:val="auto"/>
              </w:rPr>
              <w:t>Balance as of September 30, 2017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576,531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w:t>
            </w:r>
          </w:p>
        </w:tc>
        <w:tc>
          <w:tcPr>
            <w:tcW w:w="3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w:t>
            </w:r>
          </w:p>
        </w:tc>
        <w:tc>
          <w:tcPr>
            <w:tcW w:w="3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Retained</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earnings</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6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4"/>
              </w:rPr>
              <w:t>Contributed</w:t>
            </w:r>
          </w:p>
        </w:tc>
        <w:tc>
          <w:tcPr>
            <w:tcW w:w="16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89"/>
              </w:rPr>
              <w:t>(accumulated</w:t>
            </w:r>
          </w:p>
        </w:tc>
        <w:tc>
          <w:tcPr>
            <w:tcW w:w="15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5"/>
              </w:rPr>
              <w:t>components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260" w:type="dxa"/>
            <w:vAlign w:val="bottom"/>
          </w:tcPr>
          <w:p>
            <w:pPr>
              <w:spacing w:after="0"/>
              <w:rPr>
                <w:sz w:val="20"/>
                <w:szCs w:val="20"/>
                <w:color w:val="auto"/>
              </w:rPr>
            </w:pPr>
            <w:r>
              <w:rPr>
                <w:rFonts w:ascii="Arial" w:cs="Arial" w:eastAsia="Arial" w:hAnsi="Arial"/>
                <w:sz w:val="18"/>
                <w:szCs w:val="18"/>
                <w:b w:val="1"/>
                <w:bCs w:val="1"/>
                <w:color w:val="auto"/>
              </w:rPr>
              <w:t>[Numbers in US$ thousands]</w:t>
            </w: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equity</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deficit)</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of equity</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 equity</w:t>
            </w: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2017 - as previously reported</w:t>
            </w:r>
          </w:p>
        </w:tc>
        <w:tc>
          <w:tcPr>
            <w:tcW w:w="14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576,531</w:t>
            </w:r>
          </w:p>
        </w:tc>
        <w:tc>
          <w:tcPr>
            <w:tcW w:w="2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5,366</w:t>
            </w:r>
          </w:p>
        </w:tc>
        <w:tc>
          <w:tcPr>
            <w:tcW w:w="3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3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583,503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accounting principles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576,531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4,737</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3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23,747</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23,747</w:t>
            </w:r>
          </w:p>
        </w:tc>
        <w:tc>
          <w:tcPr>
            <w:tcW w:w="3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w:t>
            </w:r>
          </w:p>
        </w:tc>
        <w:tc>
          <w:tcPr>
            <w:tcW w:w="32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share issuance proceeds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Share-based payment transactions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4,638</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2018</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743,687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33,122</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777,003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5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Q3-2017</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Q3-2018</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[Numbers in US$ thousands]</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(Unaudited)</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(Unaudited)</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(used in) operating activities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9,137</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cash flow from (used in) investment activities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4,151</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(2,426)</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5,977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(used in) financing activities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169,463</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12,391</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173,857</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(1,144)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185,118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balance</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21,099</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43,993</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34,181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34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3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balance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33,841</w:t>
            </w:r>
          </w:p>
        </w:tc>
        <w:tc>
          <w:tcPr>
            <w:tcW w:w="3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217,642</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33,841</w:t>
            </w:r>
          </w:p>
        </w:tc>
        <w:tc>
          <w:tcPr>
            <w:tcW w:w="3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financial information of Opera Limited ("the Company") and its subsidiaries (collectively "the Group" or "Opera"), for the three and nine month periods ended September 30, 2018 were approved by the Company's Board of Directors on November 7, 2018.</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 Limited, with its office in George Town, Cayman Islands, is a limited liability company duly incorporated and validly existing under the laws of the Cayman Islands.</w:t>
      </w:r>
    </w:p>
    <w:p>
      <w:pPr>
        <w:spacing w:after="0" w:line="17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Opera is one of the world’s leading browser providers and an influential player in the field of integrated AI-driven digital content discovery and recommendation platforms.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Operating revenue by category</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8"/>
                <w:szCs w:val="18"/>
                <w:b w:val="1"/>
                <w:bCs w:val="1"/>
                <w:color w:val="auto"/>
              </w:rPr>
              <w:t>[Numbers in US$ thousands]</w:t>
            </w:r>
          </w:p>
        </w:tc>
        <w:tc>
          <w:tcPr>
            <w:tcW w:w="1600" w:type="dxa"/>
            <w:vAlign w:val="bottom"/>
            <w:gridSpan w:val="2"/>
          </w:tcPr>
          <w:p>
            <w:pPr>
              <w:ind w:left="320"/>
              <w:spacing w:after="0"/>
              <w:rPr>
                <w:sz w:val="20"/>
                <w:szCs w:val="20"/>
                <w:color w:val="auto"/>
              </w:rPr>
            </w:pPr>
            <w:r>
              <w:rPr>
                <w:rFonts w:ascii="Arial" w:cs="Arial" w:eastAsia="Arial" w:hAnsi="Arial"/>
                <w:sz w:val="18"/>
                <w:szCs w:val="18"/>
                <w:b w:val="1"/>
                <w:bCs w:val="1"/>
                <w:color w:val="auto"/>
              </w:rPr>
              <w:t>Q3-2017</w:t>
            </w:r>
          </w:p>
        </w:tc>
        <w:tc>
          <w:tcPr>
            <w:tcW w:w="1640" w:type="dxa"/>
            <w:vAlign w:val="bottom"/>
            <w:gridSpan w:val="3"/>
          </w:tcPr>
          <w:p>
            <w:pPr>
              <w:ind w:left="300"/>
              <w:spacing w:after="0"/>
              <w:rPr>
                <w:sz w:val="20"/>
                <w:szCs w:val="20"/>
                <w:color w:val="auto"/>
              </w:rPr>
            </w:pPr>
            <w:r>
              <w:rPr>
                <w:rFonts w:ascii="Arial" w:cs="Arial" w:eastAsia="Arial" w:hAnsi="Arial"/>
                <w:sz w:val="18"/>
                <w:szCs w:val="18"/>
                <w:b w:val="1"/>
                <w:bCs w:val="1"/>
                <w:color w:val="auto"/>
              </w:rPr>
              <w:t>Q3-2018</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YTD 2018</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Search</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17,034</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48,097</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100" w:type="dxa"/>
            <w:vAlign w:val="bottom"/>
            <w:tcBorders>
              <w:top w:val="single" w:sz="8" w:color="CCEEFF"/>
            </w:tcBorders>
            <w:shd w:val="clear" w:color="auto" w:fill="CCEEFF"/>
          </w:tcPr>
          <w:p>
            <w:pPr>
              <w:spacing w:after="0"/>
              <w:rPr>
                <w:sz w:val="18"/>
                <w:szCs w:val="18"/>
                <w:color w:val="auto"/>
              </w:rPr>
            </w:pPr>
          </w:p>
        </w:tc>
      </w:tr>
      <w:tr>
        <w:trPr>
          <w:trHeight w:val="15"/>
        </w:trPr>
        <w:tc>
          <w:tcPr>
            <w:tcW w:w="5260" w:type="dxa"/>
            <w:vAlign w:val="bottom"/>
            <w:shd w:val="clear" w:color="auto" w:fill="CCEEFF"/>
          </w:tcPr>
          <w:p>
            <w:pPr>
              <w:spacing w:after="0"/>
              <w:rPr>
                <w:sz w:val="20"/>
                <w:szCs w:val="20"/>
                <w:color w:val="auto"/>
              </w:rPr>
            </w:pPr>
            <w:r>
              <w:rPr>
                <w:rFonts w:ascii="Arial" w:cs="Arial" w:eastAsia="Arial" w:hAnsi="Arial"/>
                <w:sz w:val="1"/>
                <w:szCs w:val="1"/>
                <w:color w:val="auto"/>
              </w:rPr>
              <w:t>Advertising</w:t>
            </w:r>
          </w:p>
        </w:tc>
        <w:tc>
          <w:tcPr>
            <w:tcW w:w="1280" w:type="dxa"/>
            <w:vAlign w:val="bottom"/>
            <w:shd w:val="clear" w:color="auto" w:fill="CCEEFF"/>
          </w:tcPr>
          <w:p>
            <w:pPr>
              <w:jc w:val="right"/>
              <w:spacing w:after="0"/>
              <w:rPr>
                <w:sz w:val="20"/>
                <w:szCs w:val="20"/>
                <w:color w:val="auto"/>
              </w:rPr>
            </w:pPr>
            <w:r>
              <w:rPr>
                <w:rFonts w:ascii="Arial" w:cs="Arial" w:eastAsia="Arial" w:hAnsi="Arial"/>
                <w:sz w:val="1"/>
                <w:szCs w:val="1"/>
                <w:color w:val="auto"/>
              </w:rPr>
              <w:t>11,190</w:t>
            </w:r>
          </w:p>
        </w:tc>
        <w:tc>
          <w:tcPr>
            <w:tcW w:w="320" w:type="dxa"/>
            <w:vAlign w:val="bottom"/>
            <w:shd w:val="clear" w:color="auto" w:fill="CCEEFF"/>
          </w:tcPr>
          <w:p>
            <w:pPr>
              <w:spacing w:after="0" w:line="20" w:lineRule="exact"/>
              <w:rPr>
                <w:sz w:val="1"/>
                <w:szCs w:val="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
                <w:szCs w:val="1"/>
                <w:color w:val="auto"/>
              </w:rPr>
              <w:t>17,550</w:t>
            </w:r>
          </w:p>
        </w:tc>
        <w:tc>
          <w:tcPr>
            <w:tcW w:w="220" w:type="dxa"/>
            <w:vAlign w:val="bottom"/>
            <w:shd w:val="clear" w:color="auto" w:fill="CCEEFF"/>
          </w:tcPr>
          <w:p>
            <w:pPr>
              <w:spacing w:after="0" w:line="20" w:lineRule="exact"/>
              <w:rPr>
                <w:sz w:val="1"/>
                <w:szCs w:val="1"/>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
                <w:szCs w:val="1"/>
                <w:color w:val="auto"/>
              </w:rPr>
              <w:t>26,808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44,184</w:t>
            </w:r>
          </w:p>
        </w:tc>
      </w:tr>
      <w:tr>
        <w:trPr>
          <w:trHeight w:val="190"/>
        </w:trPr>
        <w:tc>
          <w:tcPr>
            <w:tcW w:w="5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Technology Licensing / Other</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9,833</w:t>
            </w:r>
          </w:p>
        </w:tc>
        <w:tc>
          <w:tcPr>
            <w:tcW w:w="1420" w:type="dxa"/>
            <w:vAlign w:val="bottom"/>
            <w:gridSpan w:val="2"/>
          </w:tcPr>
          <w:p>
            <w:pPr>
              <w:jc w:val="right"/>
              <w:spacing w:after="0" w:line="230" w:lineRule="exact"/>
              <w:rPr>
                <w:sz w:val="20"/>
                <w:szCs w:val="20"/>
                <w:color w:val="auto"/>
              </w:rPr>
            </w:pPr>
            <w:r>
              <w:rPr>
                <w:rFonts w:ascii="Arial" w:cs="Arial" w:eastAsia="Arial" w:hAnsi="Arial"/>
                <w:sz w:val="16"/>
                <w:szCs w:val="16"/>
                <w:color w:val="auto"/>
              </w:rPr>
              <w:t>5,116</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15,119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17,771</w:t>
            </w:r>
          </w:p>
        </w:tc>
      </w:tr>
      <w:tr>
        <w:trPr>
          <w:trHeight w:val="223"/>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38,057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44,667</w:t>
            </w:r>
          </w:p>
        </w:tc>
        <w:tc>
          <w:tcPr>
            <w:tcW w:w="16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90,023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 on new related party revenue components:</w:t>
      </w:r>
    </w:p>
    <w:p>
      <w:pPr>
        <w:spacing w:after="0" w:line="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US$2.0 million revenue from advertising agreements signed with 360 Mobile Security and Powerbets Holdings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final US$0.5 million revenue from a US$2.0 million perpetual license agreement with 360 Mobile Security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Personnel expenses by type</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8"/>
                <w:szCs w:val="18"/>
                <w:b w:val="1"/>
                <w:bCs w:val="1"/>
                <w:color w:val="auto"/>
              </w:rPr>
              <w:t>[Numbers in US$ thousands]</w:t>
            </w: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Q3-2017</w:t>
            </w: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Q3-2018</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3"/>
          </w:tcPr>
          <w:p>
            <w:pPr>
              <w:ind w:left="24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Personnel expenses excluding share-based remuneration</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9,038</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26,102</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Share-based remuneration, including related social security costs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3,422</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761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6,229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Other operating expenses</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8"/>
                <w:szCs w:val="18"/>
                <w:b w:val="1"/>
                <w:bCs w:val="1"/>
                <w:color w:val="auto"/>
              </w:rPr>
              <w:t>[Numbers in US$ thousands]</w:t>
            </w: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Q3-2017</w:t>
            </w: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Q3-2018</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3"/>
          </w:tcPr>
          <w:p>
            <w:pPr>
              <w:ind w:left="24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and distribution</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Hosting</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2,551</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2,470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9,418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Audit, legal and other advisory services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797</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Software license fees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587</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356</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1,863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Rent and other office expense</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1,032</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Travel</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540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1,343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889</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14,118</w:t>
            </w:r>
          </w:p>
        </w:tc>
        <w:tc>
          <w:tcPr>
            <w:tcW w:w="3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14,863</w:t>
            </w:r>
          </w:p>
        </w:tc>
        <w:tc>
          <w:tcPr>
            <w:tcW w:w="3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38,224</w:t>
            </w:r>
          </w:p>
        </w:tc>
        <w:tc>
          <w:tcPr>
            <w:tcW w:w="3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5"/>
          </w:tcPr>
          <w:p>
            <w:pPr>
              <w:spacing w:after="0"/>
              <w:rPr>
                <w:sz w:val="20"/>
                <w:szCs w:val="20"/>
                <w:color w:val="auto"/>
              </w:rPr>
            </w:pPr>
            <w:r>
              <w:rPr>
                <w:rFonts w:ascii="Arial" w:cs="Arial" w:eastAsia="Arial" w:hAnsi="Arial"/>
                <w:sz w:val="18"/>
                <w:szCs w:val="18"/>
                <w:b w:val="1"/>
                <w:bCs w:val="1"/>
                <w:color w:val="auto"/>
              </w:rPr>
              <w:t>Non-IFRS financial measures</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Q3-2017</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Q3-2018</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YTD 2017</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34"/>
        </w:trPr>
        <w:tc>
          <w:tcPr>
            <w:tcW w:w="5260" w:type="dxa"/>
            <w:vAlign w:val="bottom"/>
            <w:gridSpan w:val="5"/>
          </w:tcPr>
          <w:p>
            <w:pPr>
              <w:spacing w:after="0"/>
              <w:rPr>
                <w:sz w:val="20"/>
                <w:szCs w:val="20"/>
                <w:color w:val="auto"/>
              </w:rPr>
            </w:pPr>
            <w:r>
              <w:rPr>
                <w:rFonts w:ascii="Arial" w:cs="Arial" w:eastAsia="Arial" w:hAnsi="Arial"/>
                <w:sz w:val="18"/>
                <w:szCs w:val="18"/>
                <w:b w:val="1"/>
                <w:bCs w:val="1"/>
                <w:color w:val="auto"/>
              </w:rPr>
              <w:t>[Numbers in US$ thousands, except per share amounts]</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(Unaudited)</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(Unaudited)</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40" w:type="dxa"/>
            <w:vAlign w:val="bottom"/>
            <w:tcBorders>
              <w:top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Reconciliation of net income to adjusted EBITDA</w:t>
            </w: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1640" w:type="dxa"/>
            <w:vAlign w:val="bottom"/>
            <w:tcBorders>
              <w:top w:val="single" w:sz="8" w:color="CCEEFF"/>
            </w:tcBorders>
            <w:gridSpan w:val="2"/>
          </w:tcPr>
          <w:p>
            <w:pPr>
              <w:spacing w:after="0"/>
              <w:rPr>
                <w:sz w:val="18"/>
                <w:szCs w:val="18"/>
                <w:color w:val="auto"/>
              </w:rPr>
            </w:pPr>
          </w:p>
        </w:tc>
        <w:tc>
          <w:tcPr>
            <w:tcW w:w="16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b w:val="1"/>
                <w:bCs w:val="1"/>
                <w:color w:val="auto"/>
              </w:rPr>
              <w:t>7,531</w:t>
            </w:r>
          </w:p>
        </w:tc>
        <w:tc>
          <w:tcPr>
            <w:tcW w:w="16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b w:val="1"/>
                <w:bCs w:val="1"/>
                <w:color w:val="auto"/>
              </w:rPr>
              <w:t>9,717</w:t>
            </w:r>
          </w:p>
        </w:tc>
        <w:tc>
          <w:tcPr>
            <w:tcW w:w="15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b w:val="1"/>
                <w:bCs w:val="1"/>
                <w:color w:val="auto"/>
              </w:rPr>
              <w:t>4,812</w:t>
            </w:r>
          </w:p>
        </w:tc>
        <w:tc>
          <w:tcPr>
            <w:tcW w:w="13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b w:val="1"/>
                <w:bCs w:val="1"/>
                <w:color w:val="auto"/>
              </w:rPr>
              <w:t>23,747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Income tax expense (benefit)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1,615</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Add: Total net financial loss (income)</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1,155</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(603)</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624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Share of net loss (income) of associates and joint ventures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1,757</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Add: Restructuring costs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863</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2,974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Depreciation and amortization</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4,984</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3,051</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12,390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Add: Share-based remuneration</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3,422</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761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6,229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Expensed IPO related costs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843</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Less: Other income</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(5,460)</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(5,460)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14,491</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16,495</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25,076</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Reconciliation of net income to adjusted net income</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b w:val="1"/>
                <w:bCs w:val="1"/>
                <w:color w:val="auto"/>
              </w:rPr>
              <w:t>7,531</w:t>
            </w:r>
          </w:p>
        </w:tc>
        <w:tc>
          <w:tcPr>
            <w:tcW w:w="16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b w:val="1"/>
                <w:bCs w:val="1"/>
                <w:color w:val="auto"/>
              </w:rPr>
              <w:t>9,717</w:t>
            </w:r>
          </w:p>
        </w:tc>
        <w:tc>
          <w:tcPr>
            <w:tcW w:w="15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b w:val="1"/>
                <w:bCs w:val="1"/>
                <w:color w:val="auto"/>
              </w:rPr>
              <w:t>4,812</w:t>
            </w:r>
          </w:p>
        </w:tc>
        <w:tc>
          <w:tcPr>
            <w:tcW w:w="13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b w:val="1"/>
                <w:bCs w:val="1"/>
                <w:color w:val="auto"/>
              </w:rPr>
              <w:t>23,747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Share-based remuneration</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3,422</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761</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6,229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Add: Amortization of acquired intangible assets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1,280</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1,280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3,840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Expensed IPO related costs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843</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gridSpan w:val="4"/>
          </w:tcPr>
          <w:p>
            <w:pPr>
              <w:spacing w:after="0" w:line="269" w:lineRule="exact"/>
              <w:rPr>
                <w:sz w:val="20"/>
                <w:szCs w:val="20"/>
                <w:color w:val="auto"/>
              </w:rPr>
            </w:pPr>
            <w:r>
              <w:rPr>
                <w:rFonts w:ascii="Arial" w:cs="Arial" w:eastAsia="Arial" w:hAnsi="Arial"/>
                <w:sz w:val="18"/>
                <w:szCs w:val="18"/>
                <w:color w:val="auto"/>
              </w:rPr>
              <w:t xml:space="preserve">Income tax adjustment </w:t>
            </w:r>
            <w:r>
              <w:rPr>
                <w:rFonts w:ascii="Arial" w:cs="Arial" w:eastAsia="Arial" w:hAnsi="Arial"/>
                <w:sz w:val="30"/>
                <w:szCs w:val="30"/>
                <w:color w:val="auto"/>
                <w:vertAlign w:val="superscript"/>
              </w:rPr>
              <w:t>(1)</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(522)</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(1,313)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11,710</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12,494</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13,567</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Basic, millions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190.25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209.99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190.25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millions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193.69</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216.82</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192.05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ordinary share</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Basic, US$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0.062</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0.059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0.071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US$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0.060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0.058</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ADS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Basic, US$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0.123</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0.119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0.143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US$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0.121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Reversal of tax benefit related to the social security cost component of share-based remuneration, deferred taxes on the amortization of acquired intangible assets, and expensed IPO-related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2019-12-08T18:37:30Z</dcterms:created>
  <dcterms:modified xsi:type="dcterms:W3CDTF">2019-12-08T18:37:30Z</dcterms:modified>
</cp:coreProperties>
</file>