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280035</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161290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November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429260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380"/>
        <w:spacing w:after="0"/>
        <w:rPr>
          <w:sz w:val="20"/>
          <w:szCs w:val="20"/>
          <w:color w:val="auto"/>
        </w:rPr>
      </w:pPr>
      <w:r>
        <w:rPr>
          <w:rFonts w:ascii="Arial" w:cs="Arial" w:eastAsia="Arial" w:hAnsi="Arial"/>
          <w:sz w:val="32"/>
          <w:szCs w:val="32"/>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161290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Gjerdrums vei 19,</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0484 Oslo, Norway</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300"/>
        <w:spacing w:after="0" w:line="207" w:lineRule="exact"/>
        <w:tabs>
          <w:tab w:leader="none" w:pos="25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Press Release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14, 2019, the registrant announced its unaudited financial results for the third quarter ended September 30, 2019. A copy of the press release issued by the registrant regarding the foregoing is filed herewith as Exhibit 99.1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regarding financial results for the third quarter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580" w:right="4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Opera Limited</w:t>
      </w:r>
    </w:p>
    <w:p>
      <w:pPr>
        <w:spacing w:after="0" w:line="200" w:lineRule="exact"/>
        <w:rPr>
          <w:sz w:val="20"/>
          <w:szCs w:val="20"/>
          <w:color w:val="auto"/>
        </w:rPr>
      </w:pPr>
    </w:p>
    <w:p>
      <w:pPr>
        <w:spacing w:after="0" w:line="241" w:lineRule="exact"/>
        <w:rPr>
          <w:sz w:val="20"/>
          <w:szCs w:val="20"/>
          <w:color w:val="auto"/>
        </w:rPr>
      </w:pPr>
    </w:p>
    <w:p>
      <w:pPr>
        <w:ind w:left="6540"/>
        <w:spacing w:after="0"/>
        <w:tabs>
          <w:tab w:leader="none" w:pos="7040" w:val="left"/>
        </w:tabs>
        <w:rPr>
          <w:sz w:val="20"/>
          <w:szCs w:val="20"/>
          <w:color w:val="auto"/>
        </w:rPr>
      </w:pPr>
      <w:r>
        <w:rPr>
          <w:rFonts w:ascii="Arial" w:cs="Arial" w:eastAsia="Arial" w:hAnsi="Arial"/>
          <w:sz w:val="18"/>
          <w:szCs w:val="18"/>
          <w:color w:val="auto"/>
        </w:rPr>
        <w:t>By:</w:t>
        <w:tab/>
        <w:t>/s/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-10160</wp:posOffset>
            </wp:positionV>
            <wp:extent cx="702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Yahui Zhou</w:t>
      </w:r>
    </w:p>
    <w:p>
      <w:pPr>
        <w:spacing w:after="0" w:line="9" w:lineRule="exact"/>
        <w:rPr>
          <w:sz w:val="20"/>
          <w:szCs w:val="20"/>
          <w:color w:val="auto"/>
        </w:rPr>
      </w:pPr>
    </w:p>
    <w:p>
      <w:pPr>
        <w:ind w:left="6540"/>
        <w:spacing w:after="0"/>
        <w:tabs>
          <w:tab w:leader="none" w:pos="7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 and</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2019</w:t>
      </w:r>
    </w:p>
    <w:p>
      <w:pPr>
        <w:sectPr>
          <w:pgSz w:w="11900" w:h="16838" w:orient="portrait"/>
          <w:cols w:equalWidth="0" w:num="1">
            <w:col w:w="10940"/>
          </w:cols>
          <w:pgMar w:left="240" w:top="584"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 Limited announces third quarter 2019 financial results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of $93.7 million, growth accelerating to 119% year-over-year; exceeding the top end of Opera’s guidance range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Monthly active users averaging 232 million for smartphone (up 18% YoY) and 68 million for PC (up 16% YoY)</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 News users grew 39% to over 169 million monthly active users year-over-year; dedicated news app increased to 41 million monthly active users</w:t>
      </w:r>
    </w:p>
    <w:p>
      <w:pPr>
        <w:ind w:left="660" w:right="4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Opera’s microlending business more than tripled revenue versus the second quarter; driven by 5M loans totaling more than $250 million in total loan value</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OList, our recently launched classifieds offering, reached 1 million listings within three months of launch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of $28.1 million, supported by a non-cash OPay valuation gain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Adjusted EBITDA of $12.6 million, representing significant margin expansion versus the prior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Raising 2019 revenue guidance range to $300 to $310 million, representing 77% growth at the midpoint versus 2018</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Oslo, Norway, November 14, 2019 – Opera Limited (NASDAQ: OPRA), one of the world’s major browser developers and a leading internet consumer brand, today announced its unaudited consolidated financial results for the quarter ended September 30,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Third quarter 2019 financial highlights</w:t>
            </w: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7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9"/>
              </w:rPr>
              <w:t>Three Months Ended September</w:t>
            </w:r>
          </w:p>
        </w:tc>
        <w:tc>
          <w:tcPr>
            <w:tcW w:w="1280" w:type="dxa"/>
            <w:vAlign w:val="bottom"/>
          </w:tcPr>
          <w:p>
            <w:pPr>
              <w:spacing w:after="0"/>
              <w:rPr>
                <w:sz w:val="24"/>
                <w:szCs w:val="24"/>
                <w:color w:val="auto"/>
              </w:rPr>
            </w:pPr>
          </w:p>
        </w:tc>
        <w:tc>
          <w:tcPr>
            <w:tcW w:w="27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1"/>
              </w:rPr>
              <w:t>Nine Months Ended September</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Year-over-</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Year-over-</w:t>
            </w:r>
          </w:p>
        </w:tc>
        <w:tc>
          <w:tcPr>
            <w:tcW w:w="0" w:type="dxa"/>
            <w:vAlign w:val="bottom"/>
          </w:tcPr>
          <w:p>
            <w:pPr>
              <w:spacing w:after="0"/>
              <w:rPr>
                <w:sz w:val="1"/>
                <w:szCs w:val="1"/>
                <w:color w:val="auto"/>
              </w:rPr>
            </w:pPr>
          </w:p>
        </w:tc>
      </w:tr>
      <w:tr>
        <w:trPr>
          <w:trHeight w:val="191"/>
        </w:trPr>
        <w:tc>
          <w:tcPr>
            <w:tcW w:w="3400" w:type="dxa"/>
            <w:vAlign w:val="bottom"/>
            <w:gridSpan w:val="3"/>
          </w:tcPr>
          <w:p>
            <w:pPr>
              <w:spacing w:after="0" w:line="191" w:lineRule="exact"/>
              <w:rPr>
                <w:sz w:val="20"/>
                <w:szCs w:val="20"/>
                <w:color w:val="auto"/>
              </w:rPr>
            </w:pPr>
            <w:r>
              <w:rPr>
                <w:rFonts w:ascii="Arial" w:cs="Arial" w:eastAsia="Arial" w:hAnsi="Arial"/>
                <w:sz w:val="18"/>
                <w:szCs w:val="18"/>
                <w:color w:val="auto"/>
                <w:w w:val="95"/>
              </w:rPr>
              <w:t>[US$ thousands, except for margins and per</w:t>
            </w:r>
          </w:p>
        </w:tc>
        <w:tc>
          <w:tcPr>
            <w:tcW w:w="1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year %</w:t>
            </w: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rPr>
              <w:t>year %</w:t>
            </w:r>
          </w:p>
        </w:tc>
        <w:tc>
          <w:tcPr>
            <w:tcW w:w="0" w:type="dxa"/>
            <w:vAlign w:val="bottom"/>
          </w:tcPr>
          <w:p>
            <w:pPr>
              <w:spacing w:after="0"/>
              <w:rPr>
                <w:sz w:val="1"/>
                <w:szCs w:val="1"/>
                <w:color w:val="auto"/>
              </w:rPr>
            </w:pPr>
          </w:p>
        </w:tc>
      </w:tr>
      <w:tr>
        <w:trPr>
          <w:trHeight w:val="234"/>
        </w:trPr>
        <w:tc>
          <w:tcPr>
            <w:tcW w:w="3400" w:type="dxa"/>
            <w:vAlign w:val="bottom"/>
            <w:gridSpan w:val="3"/>
          </w:tcPr>
          <w:p>
            <w:pPr>
              <w:spacing w:after="0"/>
              <w:rPr>
                <w:sz w:val="20"/>
                <w:szCs w:val="20"/>
                <w:color w:val="auto"/>
              </w:rPr>
            </w:pPr>
            <w:r>
              <w:rPr>
                <w:rFonts w:ascii="Arial" w:cs="Arial" w:eastAsia="Arial" w:hAnsi="Arial"/>
                <w:sz w:val="18"/>
                <w:szCs w:val="18"/>
                <w:color w:val="auto"/>
              </w:rPr>
              <w:t>ADS amounts]</w:t>
            </w:r>
          </w:p>
        </w:tc>
        <w:tc>
          <w:tcPr>
            <w:tcW w:w="1560" w:type="dxa"/>
            <w:vAlign w:val="bottom"/>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42,795</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93,678</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118.9%</w:t>
            </w: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122,069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205,245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9,717</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28,120</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189.4%</w:t>
            </w: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23,747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35,923</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i w:val="1"/>
                <w:iCs w:val="1"/>
                <w:color w:val="auto"/>
              </w:rPr>
              <w:t>Margin</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22.7%</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28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19.5%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16,495</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12,647</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48,283</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25,305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Margin</w:t>
            </w:r>
          </w:p>
        </w:tc>
        <w:tc>
          <w:tcPr>
            <w:tcW w:w="1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38.5%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39.6%</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9"/>
                <w:szCs w:val="29"/>
                <w:color w:val="auto"/>
                <w:vertAlign w:val="superscript"/>
              </w:rPr>
              <w:t>(1)</w:t>
            </w:r>
          </w:p>
        </w:tc>
        <w:tc>
          <w:tcPr>
            <w:tcW w:w="1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12,494</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30,578</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144.7%</w:t>
            </w: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33,151</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43,188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i w:val="1"/>
                <w:iCs w:val="1"/>
                <w:color w:val="auto"/>
              </w:rPr>
              <w:t>Margin</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29.2%</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28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27.2%</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Diluted net income per ADS, US$</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0.09</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0.25</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176.6%</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0.23</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0.32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80" w:type="dxa"/>
            <w:vAlign w:val="bottom"/>
            <w:gridSpan w:val="2"/>
          </w:tcPr>
          <w:p>
            <w:pPr>
              <w:spacing w:after="0" w:line="206" w:lineRule="exact"/>
              <w:rPr>
                <w:sz w:val="20"/>
                <w:szCs w:val="20"/>
                <w:color w:val="auto"/>
              </w:rPr>
            </w:pPr>
            <w:r>
              <w:rPr>
                <w:rFonts w:ascii="Arial" w:cs="Arial" w:eastAsia="Arial" w:hAnsi="Arial"/>
                <w:sz w:val="18"/>
                <w:szCs w:val="18"/>
                <w:color w:val="auto"/>
                <w:w w:val="98"/>
              </w:rPr>
              <w:t>Diluted adjusted net income per ADS, US$</w:t>
            </w:r>
          </w:p>
        </w:tc>
        <w:tc>
          <w:tcPr>
            <w:tcW w:w="1560" w:type="dxa"/>
            <w:vAlign w:val="bottom"/>
            <w:vMerge w:val="restart"/>
          </w:tcPr>
          <w:p>
            <w:pPr>
              <w:jc w:val="right"/>
              <w:ind w:right="350"/>
              <w:spacing w:after="0"/>
              <w:rPr>
                <w:sz w:val="20"/>
                <w:szCs w:val="20"/>
                <w:color w:val="auto"/>
              </w:rPr>
            </w:pPr>
            <w:r>
              <w:rPr>
                <w:rFonts w:ascii="Arial" w:cs="Arial" w:eastAsia="Arial" w:hAnsi="Arial"/>
                <w:sz w:val="18"/>
                <w:szCs w:val="18"/>
                <w:color w:val="auto"/>
              </w:rPr>
              <w:t>0.11</w:t>
            </w: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0.27</w:t>
            </w:r>
          </w:p>
        </w:tc>
        <w:tc>
          <w:tcPr>
            <w:tcW w:w="1280" w:type="dxa"/>
            <w:vAlign w:val="bottom"/>
            <w:vMerge w:val="restart"/>
          </w:tcPr>
          <w:p>
            <w:pPr>
              <w:jc w:val="right"/>
              <w:ind w:right="30"/>
              <w:spacing w:after="0"/>
              <w:rPr>
                <w:sz w:val="20"/>
                <w:szCs w:val="20"/>
                <w:color w:val="auto"/>
              </w:rPr>
            </w:pPr>
            <w:r>
              <w:rPr>
                <w:rFonts w:ascii="Arial" w:cs="Arial" w:eastAsia="Arial" w:hAnsi="Arial"/>
                <w:sz w:val="18"/>
                <w:szCs w:val="18"/>
                <w:color w:val="auto"/>
              </w:rPr>
              <w:t>146.1%</w:t>
            </w:r>
          </w:p>
        </w:tc>
        <w:tc>
          <w:tcPr>
            <w:tcW w:w="1580" w:type="dxa"/>
            <w:vAlign w:val="bottom"/>
            <w:vMerge w:val="restart"/>
          </w:tcPr>
          <w:p>
            <w:pPr>
              <w:jc w:val="right"/>
              <w:ind w:right="370"/>
              <w:spacing w:after="0"/>
              <w:rPr>
                <w:sz w:val="20"/>
                <w:szCs w:val="20"/>
                <w:color w:val="auto"/>
              </w:rPr>
            </w:pPr>
            <w:r>
              <w:rPr>
                <w:rFonts w:ascii="Arial" w:cs="Arial" w:eastAsia="Arial" w:hAnsi="Arial"/>
                <w:sz w:val="18"/>
                <w:szCs w:val="18"/>
                <w:color w:val="auto"/>
              </w:rPr>
              <w:t>0.33</w:t>
            </w: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0.38</w:t>
            </w: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3"/>
        </w:trPr>
        <w:tc>
          <w:tcPr>
            <w:tcW w:w="3020" w:type="dxa"/>
            <w:vAlign w:val="bottom"/>
            <w:gridSpan w:val="2"/>
          </w:tcPr>
          <w:p>
            <w:pPr>
              <w:spacing w:after="0"/>
              <w:rPr>
                <w:sz w:val="20"/>
                <w:szCs w:val="20"/>
                <w:color w:val="auto"/>
              </w:rPr>
            </w:pPr>
            <w:r>
              <w:rPr>
                <w:rFonts w:ascii="Arial" w:cs="Arial" w:eastAsia="Arial" w:hAnsi="Arial"/>
                <w:sz w:val="15"/>
                <w:szCs w:val="15"/>
                <w:color w:val="auto"/>
              </w:rPr>
              <w:t>(1)</w:t>
            </w:r>
          </w:p>
        </w:tc>
        <w:tc>
          <w:tcPr>
            <w:tcW w:w="3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Please see the separate section "About non-IFRS financial measures" for the definitions of adjusted EBITDA and adjusted net income.</w:t>
      </w:r>
    </w:p>
    <w:p>
      <w:pPr>
        <w:spacing w:after="0" w:line="200" w:lineRule="exact"/>
        <w:rPr>
          <w:sz w:val="20"/>
          <w:szCs w:val="20"/>
          <w:color w:val="auto"/>
        </w:rPr>
      </w:pPr>
    </w:p>
    <w:p>
      <w:pPr>
        <w:spacing w:after="0" w:line="21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Frode Jacobsen, Opera’s CFO, said, “We are pleased with our third quarter results delivering accelerated revenue growth year-over-year and positive momentum throughout the business. We are successfully leveraging our well-known brand and large user base of more than 350 million monthly active users to drive growth in new opportunities beyond the browser, including news and content, fintech and classifieds. Our new initiatives, strategic investments and the continued growth of our browser, led to an accelerating growth trajectory with 119% year-over-year revenue growth.</w:t>
      </w:r>
    </w:p>
    <w:p>
      <w:pPr>
        <w:spacing w:after="0" w:line="17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third quarter revenue growth was driven by strong results in both advertising and search revenues and more than a tripling of microlending revenue versus the second quarter, driven by rapid scaling in India and continued success in Kenya. Adjusted EBITDA margins expanded meaningfully versus the prior quarter, while we continued to invest aggressively in existing and future growth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Third quarter 2019 user base and product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are relative to the third quarter of 2018 unless otherwise stated)</w:t>
      </w:r>
    </w:p>
    <w:p>
      <w:pPr>
        <w:spacing w:after="0" w:line="2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 News average Monthly Active Users (“MAUs”) grew 39% to 169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Opera News app, launched in January 2018, reached 41 million average MAUs, up 136% on year-over-year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smartphone average MAUs grew 18% to 232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PC average MAUs grew 16% to 68 million</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Provided 4.9 million microloans in the quarter with a total value of $250 million, up from 1.8 million microloans and $70 million value in the second quarter</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Lin Song, Opera’s COO, said, “We are pleased with our strong third quarter results across all of our key metrics. We maintain a robust user growth trajectory while utilizing our scale to launch new products and further expand our market opportunity.</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“Opera News continues to scale, with MAUs of our news app increasing 136% year-over-year to 41 million in the third quarter. We remain focused on driving user growth and increasing engagement through improved product quality and adding hyperlocal content on the platform. This includes the launch of Opera News Hub, a platform which allows content creators to publish and monetize through Opera News, which has already signed on 500 key opinion leaders. We continue to make progress monetizing our dedicated news app, with revenue up 44% versus the prior quarter.</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“Opera Ads, our direct selling platform is evolving and expanding its capabilities. We are reaching an increasing number of both large businesses and small to medium sized enterprises which led to an increase in advertising revenue. Additionally, we launched OLeads, a product aimed at helping the tens of millions of small and medium enterprises in Nigeria grow and market their businesses online.</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“Olist, our classified offering in Nigeria is progressing well. Listings have more than doubled to over 1 million from three months ago. We are focusing on growing listings and driving consumer awareness. We believe the potential in this area is very interesting, both in terms of advertising, but also from taking part in the underlying transactions through fee based models.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the browser side, our focus on product differentiation has led to continued growth with PC users up 16% year-over-year as we remain focused on privacy and security functionality, and supported by the continued success of Opera GX, our web browser tailored for gamers. Our smartphone user base also continued to grow during the quarter, as we launched offline file sharing in our Opera Mini browser that enables users to share content without using their mobile data or being limited by a slow network connection. The recent launch of our new tracker blocker is shown to speed up mobile browser speed by almost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Mr. Frode Jacobsen, Opera’s CFO, said, “In light of the success we achieved during the third quarter of 2019, we are again raising our full-year revenue expectations. We now expect 77% revenue growth at the midpoint of our 2019 guidance. This view includes further growth in our microlending business and continued scaling of our advertising business. We expect our newest initiatives, including OList and additional fintech efforts, to be more of a factor in 2020. Further, we are increasing the lower end of our 2019 Adjusted EBITDA guidance. This reflects further margin expansion in the fourth quarter, while continuing to make aggressive investments in both existing and new initiatives aimed at driving strong multi-year growth.”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a result, Opera expects fourth quarter and full year 2019 revenue and adjusted EBITDA to be in the following ranges: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w:t>
      </w:r>
    </w:p>
    <w:p>
      <w:pPr>
        <w:spacing w:after="0" w:line="27" w:lineRule="exact"/>
        <w:rPr>
          <w:sz w:val="20"/>
          <w:szCs w:val="20"/>
          <w:color w:val="auto"/>
        </w:rPr>
      </w:pPr>
    </w:p>
    <w:p>
      <w:pPr>
        <w:ind w:left="660" w:right="28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of $95 - $105 million, or 89 - 109% growth versus the fourth quarter of 2018, driven by fintech revenue and to a lesser extent growth in advertising and search revenue. This growth will be offset by an expected significant decline in technology licensing revenue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of $15 - $19 million, representing margin expansion versus the third 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w:t>
      </w:r>
    </w:p>
    <w:p>
      <w:pPr>
        <w:spacing w:after="0" w:line="2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$300 - $310 million, or 74 - 80% growth year-over-year, an increase from our previous guidance of $270 - $290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of $41 - $45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2019 consolidated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in this section are relative to the third quarter of 2018 unless otherwise stated.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increased 119% to $93.7 million.</w:t>
      </w:r>
    </w:p>
    <w:p>
      <w:pPr>
        <w:spacing w:after="0" w:line="2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Search revenue increased 13% to $21.5 million, primarily due to smartphone and PC browser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Advertising revenue increased 17% to $18.3 million, due to an increase in both smartphone and PC users and continued monetization improvements.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Fintech revenue was $39.9 million. This revenue tripled versus the prior quarter due to rapidly scaling India and continued growth in Kenya.</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Retail revenue was $6.0 million versus $2.9 million in the third quarter of 2018.</w:t>
      </w:r>
    </w:p>
    <w:p>
      <w:pPr>
        <w:spacing w:after="0" w:line="9"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 licensing and other revenue was $7.9 million. This was higher than expected due to non-recurring incremental low margin revenue relating to investee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increased 181% to $87.0 million.</w:t>
      </w:r>
    </w:p>
    <w:p>
      <w:pPr>
        <w:spacing w:after="0" w:line="27" w:lineRule="exact"/>
        <w:rPr>
          <w:sz w:val="20"/>
          <w:szCs w:val="20"/>
          <w:color w:val="auto"/>
        </w:rPr>
      </w:pPr>
    </w:p>
    <w:p>
      <w:pPr>
        <w:ind w:left="660" w:right="1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revenue was $15.0 million, compared to $10.1 million in the second quarter of 2019. Within the total, $6.0 million related to retail revenue, $8.8 million related to microlending and $0.2 million related to the browser and news business area.</w:t>
      </w:r>
    </w:p>
    <w:p>
      <w:pPr>
        <w:ind w:left="660" w:right="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Personnel expenses including share-based remuneration were $19.5 million, a 108% increase. This expense consists of cash-based compensation expense of $18.0 million, and $1.5 million of share-based remuneration expense. The increase included approximately $4.0 million of short-term elevated compensation cost relating to investee support, and some staff increases mainly related to Opera News, Opera Ads, microlending and other growth initiatives.</w:t>
      </w:r>
    </w:p>
    <w:p>
      <w:pPr>
        <w:spacing w:after="0" w:line="1"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Marketing and distribution expenses were $20.0 million, an increase of 160% following our previously announced efforts to further invest in accelerating our growth in 2019.</w:t>
      </w:r>
    </w:p>
    <w:p>
      <w:pPr>
        <w:ind w:left="660" w:right="4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Credit loss expense was $19.6 million, including $20.0 million related to microlending which was partially offset by a $0.4 million reduction in credit loss provision within the browser and news segment.</w:t>
      </w:r>
    </w:p>
    <w:p>
      <w:pPr>
        <w:ind w:left="660" w:right="1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and amortization expenses were $4.5 million, a 48% increase. The increase is largely the result of the adoption of IFRS 16 on January 1, 2019.</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operating expenses were $8.3 million, a 19% increase.</w:t>
      </w:r>
    </w:p>
    <w:p>
      <w:pPr>
        <w:spacing w:after="0" w:line="207"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 xml:space="preserve">Operating profit </w:t>
      </w:r>
      <w:r>
        <w:rPr>
          <w:rFonts w:ascii="Arial" w:cs="Arial" w:eastAsia="Arial" w:hAnsi="Arial"/>
          <w:sz w:val="16"/>
          <w:szCs w:val="16"/>
          <w:color w:val="auto"/>
        </w:rPr>
        <w:t>was $6.7 million, representing an operating margin of 7%, compared to $11.8 million and a 27% margin in the year-ago quarter. The</w:t>
      </w:r>
      <w:r>
        <w:rPr>
          <w:rFonts w:ascii="Arial" w:cs="Arial" w:eastAsia="Arial" w:hAnsi="Arial"/>
          <w:sz w:val="16"/>
          <w:szCs w:val="16"/>
          <w:b w:val="1"/>
          <w:bCs w:val="1"/>
          <w:color w:val="auto"/>
        </w:rPr>
        <w:t xml:space="preserve"> </w:t>
      </w:r>
      <w:r>
        <w:rPr>
          <w:rFonts w:ascii="Arial" w:cs="Arial" w:eastAsia="Arial" w:hAnsi="Arial"/>
          <w:sz w:val="16"/>
          <w:szCs w:val="16"/>
          <w:color w:val="auto"/>
        </w:rPr>
        <w:t>decline was largely due to the increased investment in marketing and distribution activities and increased headcount associated with our growth initiatives.</w:t>
      </w:r>
    </w:p>
    <w:p>
      <w:pPr>
        <w:spacing w:after="0" w:line="116"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 xml:space="preserve">Share of net income of associates and joint ventures </w:t>
      </w:r>
      <w:r>
        <w:rPr>
          <w:rFonts w:ascii="Arial" w:cs="Arial" w:eastAsia="Arial" w:hAnsi="Arial"/>
          <w:sz w:val="18"/>
          <w:szCs w:val="18"/>
          <w:color w:val="auto"/>
        </w:rPr>
        <w:t>amounted to $23.3 million, including a non-cash gain from the increased OPay valuation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company’s recent funding round.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was $1.7 million, compared to an expense of $1.0 million in the year-ago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was $28.1 million, compared to $9.7 million in the third quarter of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income per ADS </w:t>
      </w:r>
      <w:r>
        <w:rPr>
          <w:rFonts w:ascii="Arial" w:cs="Arial" w:eastAsia="Arial" w:hAnsi="Arial"/>
          <w:sz w:val="18"/>
          <w:szCs w:val="18"/>
          <w:color w:val="auto"/>
        </w:rPr>
        <w:t>was $0.25 in the quarter, and $0.25 on a diluted basis.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Adjusted net income per ADS </w:t>
      </w:r>
      <w:r>
        <w:rPr>
          <w:rFonts w:ascii="Arial" w:cs="Arial" w:eastAsia="Arial" w:hAnsi="Arial"/>
          <w:sz w:val="18"/>
          <w:szCs w:val="18"/>
          <w:color w:val="auto"/>
        </w:rPr>
        <w:t>was $0.28 in the quarter, and $0.27 on a diluted basis. Each ADS represents two shares in Opera Limited. In the quarter, the</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number of shares outstanding was 221.6 million, corresponding to 110.8 million ADSs. Note that the third quarter only includes 1.0 million impact of the 7.5 million new ADSs issued as part of the company’s follow-on offering. An additional 1.1 million new ADSs were issued in October related to the underwriters’ execution of the over-allotment option.</w:t>
      </w:r>
    </w:p>
    <w:p>
      <w:pPr>
        <w:spacing w:after="0" w:line="18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was $12.6 million, representing a 13% adjusted EBITDA margin, compared to $16.5 million in third quarter 2018. Adjusted EBITDA</w:t>
      </w:r>
      <w:r>
        <w:rPr>
          <w:rFonts w:ascii="Arial" w:cs="Arial" w:eastAsia="Arial" w:hAnsi="Arial"/>
          <w:sz w:val="18"/>
          <w:szCs w:val="18"/>
          <w:b w:val="1"/>
          <w:bCs w:val="1"/>
          <w:color w:val="auto"/>
        </w:rPr>
        <w:t xml:space="preserve"> </w:t>
      </w:r>
      <w:r>
        <w:rPr>
          <w:rFonts w:ascii="Arial" w:cs="Arial" w:eastAsia="Arial" w:hAnsi="Arial"/>
          <w:sz w:val="18"/>
          <w:szCs w:val="18"/>
          <w:color w:val="auto"/>
        </w:rPr>
        <w:t>excludes share-based remuneration.</w:t>
      </w:r>
    </w:p>
    <w:p>
      <w:pPr>
        <w:spacing w:after="0" w:line="162"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Adjusted Net Income </w:t>
      </w:r>
      <w:r>
        <w:rPr>
          <w:rFonts w:ascii="Arial" w:cs="Arial" w:eastAsia="Arial" w:hAnsi="Arial"/>
          <w:sz w:val="17"/>
          <w:szCs w:val="17"/>
          <w:color w:val="auto"/>
        </w:rPr>
        <w:t>was $30.6 million in the quarter, representing a 33% adjusted net margin compared to $12.5 million in third quarter 2018. Adjusted net</w:t>
      </w:r>
      <w:r>
        <w:rPr>
          <w:rFonts w:ascii="Arial" w:cs="Arial" w:eastAsia="Arial" w:hAnsi="Arial"/>
          <w:sz w:val="17"/>
          <w:szCs w:val="17"/>
          <w:b w:val="1"/>
          <w:bCs w:val="1"/>
          <w:color w:val="auto"/>
        </w:rPr>
        <w:t xml:space="preserve"> </w:t>
      </w:r>
      <w:r>
        <w:rPr>
          <w:rFonts w:ascii="Arial" w:cs="Arial" w:eastAsia="Arial" w:hAnsi="Arial"/>
          <w:sz w:val="17"/>
          <w:szCs w:val="17"/>
          <w:color w:val="auto"/>
        </w:rPr>
        <w:t>income excludes share-based remuneration and amortization of intangible assets related to acquisitions (all of which relates to the Opera privatization in 2016). Adjusted net income further includes partially offsetting reversals of the tax impacts of the foregoing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 w:name="page8"/>
    <w:bookmarkEnd w:id="7"/>
    <w:p>
      <w:pPr>
        <w:jc w:val="both"/>
        <w:ind w:right="20"/>
        <w:spacing w:after="0" w:line="266" w:lineRule="auto"/>
        <w:rPr>
          <w:sz w:val="20"/>
          <w:szCs w:val="20"/>
          <w:color w:val="auto"/>
        </w:rPr>
      </w:pPr>
      <w:r>
        <w:rPr>
          <w:rFonts w:ascii="Arial" w:cs="Arial" w:eastAsia="Arial" w:hAnsi="Arial"/>
          <w:sz w:val="18"/>
          <w:szCs w:val="18"/>
          <w:b w:val="1"/>
          <w:bCs w:val="1"/>
          <w:color w:val="auto"/>
        </w:rPr>
        <w:t xml:space="preserve">Other highlights </w:t>
      </w:r>
      <w:r>
        <w:rPr>
          <w:rFonts w:ascii="Arial" w:cs="Arial" w:eastAsia="Arial" w:hAnsi="Arial"/>
          <w:sz w:val="18"/>
          <w:szCs w:val="18"/>
          <w:color w:val="auto"/>
        </w:rPr>
        <w:t>included a follow-on public offering of 8.6 million American Depositary Shares (ADS), raising a total of $82.6 million net of underwriting</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discounts and commissions. The initial offering of 7.5 ADSs was completed on September 24th and the underwriters’ execution of the over-allotment option of 1.1 million ADSs was completed on October 16th.</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Opera’s management team will host a conference call from Lagos, Nigeria at 8:00 AM U.S. Eastern Time (2:00 PM Central European Time, 9:00 PM Beijing/Hong Kong time) on Thursday, November 14,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dial-in details for the live conference call 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+1 (877) 506-7703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+86 400 682 8609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+852 5819 4851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 +47 239 64173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+44 (0)203 107 0289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(786) 815-8450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Confirmation Code: 7235635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live webcast of the conference call will be posted at </w:t>
      </w:r>
      <w:r>
        <w:rPr>
          <w:rFonts w:ascii="Arial" w:cs="Arial" w:eastAsia="Arial" w:hAnsi="Arial"/>
          <w:sz w:val="18"/>
          <w:szCs w:val="18"/>
          <w:u w:val="single" w:color="auto"/>
          <w:color w:val="auto"/>
        </w:rPr>
        <w:t>https://investor.opera.com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non-IFRS financial measures</w:t>
      </w:r>
    </w:p>
    <w:p>
      <w:pPr>
        <w:spacing w:after="0" w:line="229"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To supplement our consolidated financial statements, which are prepared and presented based on IFRS, we use adjusted EBITDA and adjusted net income, both non-IFRS financial measures, to understand and evaluate our core operating performance. These non-IFRS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IFRS.</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define adjusted EBITDA as net income (loss) excluding income tax expense (benefit), net finance expense (income), share of net loss (income) of associates and joint ventures, restructuring costs, depreciation and amortization, share-based remuneration and expensed costs related to our recent initial public offering, less other income.</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define adjusted net income as net income excluding share-based remuneration, amortization of acquired intangible assets, and expensed costs related to our recent initial public offering.</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adjusted EBITDA and adjusted net income provides useful information to investors and others in understanding and evaluating our operating results. These non-IFRS financial measures adjust for the impact of items that we do not consider indicative of the operational performance of our business. While we believe that these non-IFRS financial measures are useful in evaluating our business, this information should be considered as supplemental in nature and is not meant as a substitute for the related financial information prepared and presented in accordance with IFRS. Please refer to our financial statements at the end of this announcement for a table reconciling our non-IFRS financial measures to net income (loss), the most directly comparable IFRS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statements of a forward-looking nature. These statements, including statements relating to the Company’s future financial and operating results, are made under the “safe harbor” provisions of the U.S. Private Securities Litigation Reform Act of 1995. You can identify these forward-looking statements by terminology such as “will,” “expects,” “believes,” “anticipates,” “intends,” “estimates” and similar statements. Among other things, management’s quotations and the Business outlook section contain forward-looking statements. These forward-looking statements involve known and unknown risks and uncertainties and are based on current expectations, assumptions, estimates and projections about Opera and the industry. Potential risks and uncertainties include, but are not limited to, those relating to its goals and strategies; its expected development and launch, and market acceptance, of its products and services; its expectations regarding demand for and market acceptance of our brand, platforms and services; our expectations regarding growth in our user base and level of engagement; its ability to attract, retain and monetize users; its ability to continue to develop new technologies and/or upgrade our existing technologies and quarterly variations in its operating results caused by factors beyond its control and global macroeconomic conditions and its potential impact in the markets it has businesses. All information provided in this press release is as of the date hereof, and Opera undertakes no obligation to update any forward-looking statements to reflect subsequent occurring events or circumstances, or changes in its expectations, except as may be required by law. Although Opera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Opera’s filings with the U.S. Securities and Exchange Commission, including its annual report on Form 20-F.</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Opera</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Opera is a leading global internet brand with an engaged and growing base of over 350 million average monthly active users. Building on over 20 years of innovation, starting with our browser products, we are increasingly leveraging our brand as well as our massive and highly active user base in order to expand our offerings and our business. Today, we offer users across Europe, Africa and Asia a range of products and services that include our PC and mobile browsers as well as our AI-powered news reader Opera News and our app-based microfinance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Derrick Nueman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investor-relations@opera.com or (408) 596-3055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media enquiries, please contact: press-team@opera.com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0"/>
              </w:rPr>
              <w:t>Three Months Ended September</w:t>
            </w:r>
          </w:p>
        </w:tc>
        <w:tc>
          <w:tcPr>
            <w:tcW w:w="26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[US$ thousands, except per share and ADS amounts]</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42,795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93,678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205,245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(3,663)</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(15,023)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(5,741)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 including share-based remuneration</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(9,378)</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(19,495)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Marketing and distribution expenses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(7,709)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(20,029)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(22,885)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(3,051)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(4,511)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(9,817)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(12,934)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(6,992)</w:t>
            </w:r>
          </w:p>
        </w:tc>
        <w:tc>
          <w:tcPr>
            <w:tcW w:w="13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(21,862)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(22,236)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60" w:type="dxa"/>
            <w:vAlign w:val="bottom"/>
            <w:vMerge w:val="continue"/>
            <w:shd w:val="clear" w:color="auto" w:fill="CCEEFF"/>
          </w:tcPr>
          <w:p>
            <w:pPr>
              <w:spacing w:after="0"/>
              <w:rPr>
                <w:sz w:val="5"/>
                <w:szCs w:val="5"/>
                <w:color w:val="auto"/>
              </w:rPr>
            </w:pPr>
          </w:p>
        </w:tc>
        <w:tc>
          <w:tcPr>
            <w:tcW w:w="1400" w:type="dxa"/>
            <w:vAlign w:val="bottom"/>
            <w:gridSpan w:val="2"/>
            <w:vMerge w:val="continue"/>
            <w:shd w:val="clear" w:color="auto" w:fill="CCEEFF"/>
          </w:tcPr>
          <w:p>
            <w:pPr>
              <w:spacing w:after="0"/>
              <w:rPr>
                <w:sz w:val="5"/>
                <w:szCs w:val="5"/>
                <w:color w:val="auto"/>
              </w:rPr>
            </w:pPr>
          </w:p>
        </w:tc>
        <w:tc>
          <w:tcPr>
            <w:tcW w:w="1340" w:type="dxa"/>
            <w:vAlign w:val="bottom"/>
            <w:gridSpan w:val="2"/>
            <w:shd w:val="clear" w:color="auto" w:fill="CCEEFF"/>
          </w:tcPr>
          <w:p>
            <w:pPr>
              <w:jc w:val="right"/>
              <w:ind w:right="200"/>
              <w:spacing w:after="0" w:line="68" w:lineRule="exact"/>
              <w:rPr>
                <w:sz w:val="20"/>
                <w:szCs w:val="20"/>
                <w:color w:val="auto"/>
              </w:rPr>
            </w:pPr>
            <w:r>
              <w:rPr>
                <w:rFonts w:ascii="Arial" w:cs="Arial" w:eastAsia="Arial" w:hAnsi="Arial"/>
                <w:sz w:val="7"/>
                <w:szCs w:val="7"/>
                <w:color w:val="auto"/>
              </w:rPr>
              <w:t>(8,326</w:t>
            </w:r>
          </w:p>
        </w:tc>
        <w:tc>
          <w:tcPr>
            <w:tcW w:w="124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(30,954)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(87,026)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(89,982)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(197,329)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Operating profit (loss)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11,841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6,652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32,086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Share of net income (loss) of associates and joint ventures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(1,757)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23,295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finance income (expense)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Finance expense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foreign exchange gain (loss)</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vMerge w:val="restart"/>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60" w:type="dxa"/>
            <w:vAlign w:val="bottom"/>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340" w:type="dxa"/>
            <w:vAlign w:val="bottom"/>
            <w:gridSpan w:val="2"/>
            <w:shd w:val="clear" w:color="auto" w:fill="CCEEFF"/>
          </w:tcPr>
          <w:p>
            <w:pPr>
              <w:jc w:val="right"/>
              <w:ind w:right="200"/>
              <w:spacing w:after="0" w:line="68" w:lineRule="exact"/>
              <w:rPr>
                <w:sz w:val="20"/>
                <w:szCs w:val="20"/>
                <w:color w:val="auto"/>
              </w:rPr>
            </w:pPr>
            <w:r>
              <w:rPr>
                <w:rFonts w:ascii="Arial" w:cs="Arial" w:eastAsia="Arial" w:hAnsi="Arial"/>
                <w:sz w:val="7"/>
                <w:szCs w:val="7"/>
                <w:color w:val="auto"/>
              </w:rPr>
              <w:t>(539</w:t>
            </w:r>
          </w:p>
        </w:tc>
        <w:tc>
          <w:tcPr>
            <w:tcW w:w="124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finance income (expense)</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603</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income (loss) before income taxes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10,687</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29,797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29,541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(970)</w:t>
            </w:r>
          </w:p>
        </w:tc>
        <w:tc>
          <w:tcPr>
            <w:tcW w:w="13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(5,794)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60" w:type="dxa"/>
            <w:vAlign w:val="bottom"/>
            <w:vMerge w:val="continue"/>
            <w:shd w:val="clear" w:color="auto" w:fill="CCEEFF"/>
          </w:tcPr>
          <w:p>
            <w:pPr>
              <w:spacing w:after="0"/>
              <w:rPr>
                <w:sz w:val="5"/>
                <w:szCs w:val="5"/>
                <w:color w:val="auto"/>
              </w:rPr>
            </w:pPr>
          </w:p>
        </w:tc>
        <w:tc>
          <w:tcPr>
            <w:tcW w:w="1400" w:type="dxa"/>
            <w:vAlign w:val="bottom"/>
            <w:gridSpan w:val="2"/>
            <w:vMerge w:val="continue"/>
            <w:shd w:val="clear" w:color="auto" w:fill="CCEEFF"/>
          </w:tcPr>
          <w:p>
            <w:pPr>
              <w:spacing w:after="0"/>
              <w:rPr>
                <w:sz w:val="5"/>
                <w:szCs w:val="5"/>
                <w:color w:val="auto"/>
              </w:rPr>
            </w:pPr>
          </w:p>
        </w:tc>
        <w:tc>
          <w:tcPr>
            <w:tcW w:w="1340" w:type="dxa"/>
            <w:vAlign w:val="bottom"/>
            <w:gridSpan w:val="2"/>
            <w:shd w:val="clear" w:color="auto" w:fill="CCEEFF"/>
          </w:tcPr>
          <w:p>
            <w:pPr>
              <w:jc w:val="right"/>
              <w:ind w:right="200"/>
              <w:spacing w:after="0" w:line="68" w:lineRule="exact"/>
              <w:rPr>
                <w:sz w:val="20"/>
                <w:szCs w:val="20"/>
                <w:color w:val="auto"/>
              </w:rPr>
            </w:pPr>
            <w:r>
              <w:rPr>
                <w:rFonts w:ascii="Arial" w:cs="Arial" w:eastAsia="Arial" w:hAnsi="Arial"/>
                <w:sz w:val="7"/>
                <w:szCs w:val="7"/>
                <w:color w:val="auto"/>
              </w:rPr>
              <w:t>(1,677</w:t>
            </w:r>
          </w:p>
        </w:tc>
        <w:tc>
          <w:tcPr>
            <w:tcW w:w="124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9,717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28,120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23,747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income (loss) attributable to:</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35,923</w:t>
            </w: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income (loss) attributed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9,717</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28,120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23,747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35,923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spacing w:after="0" w:line="256" w:lineRule="exact"/>
              <w:rPr>
                <w:sz w:val="20"/>
                <w:szCs w:val="20"/>
                <w:color w:val="auto"/>
              </w:rPr>
            </w:pPr>
            <w:r>
              <w:rPr>
                <w:rFonts w:ascii="Arial" w:cs="Arial" w:eastAsia="Arial" w:hAnsi="Arial"/>
                <w:sz w:val="18"/>
                <w:szCs w:val="18"/>
                <w:color w:val="auto"/>
              </w:rPr>
              <w:t>Basic, millions</w:t>
            </w:r>
            <w:r>
              <w:rPr>
                <w:rFonts w:ascii="Arial" w:cs="Arial" w:eastAsia="Arial" w:hAnsi="Arial"/>
                <w:sz w:val="29"/>
                <w:szCs w:val="29"/>
                <w:color w:val="auto"/>
                <w:vertAlign w:val="superscript"/>
              </w:rPr>
              <w:t>(1)</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209.99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221.55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196.83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220.31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Diluted, millions</w:t>
            </w:r>
            <w:r>
              <w:rPr>
                <w:rFonts w:ascii="Arial" w:cs="Arial" w:eastAsia="Arial" w:hAnsi="Arial"/>
                <w:sz w:val="29"/>
                <w:szCs w:val="29"/>
                <w:color w:val="auto"/>
                <w:vertAlign w:val="superscript"/>
              </w:rPr>
              <w:t>(2)</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216.82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225.89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ordinary share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US$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ADS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0.09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US$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20" w:firstLine="8"/>
        <w:spacing w:after="0" w:line="238" w:lineRule="auto"/>
        <w:tabs>
          <w:tab w:leader="none" w:pos="22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Assuming 200 million shares in Opera Limited were outstanding for all periods presented prior to the Initial Public Offering (IPO), less 9.75 million shares that were surrendered by two shareholders upon completion of the IPO. As of September 30, 2019, the total number of shares outstanding for Opera Limited was 235,576,326, equivalent to 117,788,163 ADSs.</w:t>
      </w:r>
    </w:p>
    <w:p>
      <w:pPr>
        <w:spacing w:after="0" w:line="174" w:lineRule="exact"/>
        <w:rPr>
          <w:rFonts w:ascii="Arial" w:cs="Arial" w:eastAsia="Arial" w:hAnsi="Arial"/>
          <w:sz w:val="26"/>
          <w:szCs w:val="26"/>
          <w:color w:val="auto"/>
          <w:vertAlign w:val="superscript"/>
        </w:rPr>
      </w:pPr>
    </w:p>
    <w:p>
      <w:pPr>
        <w:ind w:left="220" w:hanging="212"/>
        <w:spacing w:after="0"/>
        <w:tabs>
          <w:tab w:leader="none" w:pos="22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Includes the net dilutive impact of employee equity awards, all of which are 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COMPREHENSIVE INCOME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0"/>
              </w:rPr>
              <w:t>Three Months Ended September</w:t>
            </w: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9,717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28,120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23,747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35,923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Other comprehensive income (loss) that may be reclassified to the Statement</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 Operations in subsequent periods (net of tax)</w:t>
            </w: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(1,982)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(1,273)</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exchange differences on loss of control</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8"/>
              </w:rPr>
              <w:t>Share of other comprehensive income (loss) of associates and joint ventures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Net other comprehensive income (loss) that may be reclassified to the</w:t>
            </w: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(177)</w:t>
            </w:r>
          </w:p>
        </w:tc>
        <w:tc>
          <w:tcPr>
            <w:tcW w:w="1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(1,982)</w:t>
            </w: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(1,411)</w:t>
            </w:r>
          </w:p>
        </w:tc>
        <w:tc>
          <w:tcPr>
            <w:tcW w:w="20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(2,126)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in subsequent periods</w:t>
            </w:r>
          </w:p>
        </w:tc>
        <w:tc>
          <w:tcPr>
            <w:tcW w:w="140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9,541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26,139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22,336</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comprehensive income (loss) attributable to:</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26,139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22,336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 attributed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9,541</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26,139</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22,336</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33,797</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60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FINANCIAL POSITION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As of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As of December 31,</w:t>
            </w:r>
          </w:p>
        </w:tc>
        <w:tc>
          <w:tcPr>
            <w:tcW w:w="1480" w:type="dxa"/>
            <w:vAlign w:val="bottom"/>
          </w:tcPr>
          <w:p>
            <w:pPr>
              <w:jc w:val="right"/>
              <w:ind w:right="55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Intangible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115,444</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112,355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421,578</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Investments in associates and joint ventures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35,060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67,560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Non-current financial assets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tax assets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587,213</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631,870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Trade receivables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37,468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47,983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Loans to customers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receivables</w:t>
            </w:r>
          </w:p>
        </w:tc>
        <w:tc>
          <w:tcPr>
            <w:tcW w:w="1500" w:type="dxa"/>
            <w:vAlign w:val="bottom"/>
          </w:tcPr>
          <w:p>
            <w:pPr>
              <w:jc w:val="right"/>
              <w:spacing w:after="0"/>
              <w:rPr>
                <w:sz w:val="20"/>
                <w:szCs w:val="20"/>
                <w:color w:val="auto"/>
              </w:rPr>
            </w:pPr>
            <w:r>
              <w:rPr>
                <w:rFonts w:ascii="Arial" w:cs="Arial" w:eastAsia="Arial" w:hAnsi="Arial"/>
                <w:sz w:val="18"/>
                <w:szCs w:val="18"/>
                <w:color w:val="auto"/>
              </w:rPr>
              <w:t>4,031</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14,372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Inventories</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financial assets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500" w:type="dxa"/>
            <w:vAlign w:val="bottom"/>
          </w:tcPr>
          <w:p>
            <w:pPr>
              <w:jc w:val="right"/>
              <w:spacing w:after="0"/>
              <w:rPr>
                <w:sz w:val="20"/>
                <w:szCs w:val="20"/>
                <w:color w:val="auto"/>
              </w:rPr>
            </w:pPr>
            <w:r>
              <w:rPr>
                <w:rFonts w:ascii="Arial" w:cs="Arial" w:eastAsia="Arial" w:hAnsi="Arial"/>
                <w:sz w:val="18"/>
                <w:szCs w:val="18"/>
                <w:color w:val="auto"/>
              </w:rPr>
              <w:t>1,165</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45,253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177,873</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179,038</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238,090</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352,161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825,303</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984,031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paid in capital</w:t>
            </w:r>
          </w:p>
        </w:tc>
        <w:tc>
          <w:tcPr>
            <w:tcW w:w="1500" w:type="dxa"/>
            <w:vAlign w:val="bottom"/>
          </w:tcPr>
          <w:p>
            <w:pPr>
              <w:jc w:val="right"/>
              <w:spacing w:after="0"/>
              <w:rPr>
                <w:sz w:val="20"/>
                <w:szCs w:val="20"/>
                <w:color w:val="auto"/>
              </w:rPr>
            </w:pPr>
            <w:r>
              <w:rPr>
                <w:rFonts w:ascii="Arial" w:cs="Arial" w:eastAsia="Arial" w:hAnsi="Arial"/>
                <w:sz w:val="18"/>
                <w:szCs w:val="18"/>
                <w:color w:val="auto"/>
              </w:rPr>
              <w:t>738,690</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803,896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36,432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Foreign currency translation reserve</w:t>
            </w:r>
          </w:p>
        </w:tc>
        <w:tc>
          <w:tcPr>
            <w:tcW w:w="150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attributed to equity holders of the parent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775,460</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878,154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775,460</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878,154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Non-current lease liabilities and other loans</w:t>
            </w:r>
          </w:p>
        </w:tc>
        <w:tc>
          <w:tcPr>
            <w:tcW w:w="1500" w:type="dxa"/>
            <w:vAlign w:val="bottom"/>
          </w:tcPr>
          <w:p>
            <w:pPr>
              <w:jc w:val="right"/>
              <w:spacing w:after="0"/>
              <w:rPr>
                <w:sz w:val="20"/>
                <w:szCs w:val="20"/>
                <w:color w:val="auto"/>
              </w:rPr>
            </w:pPr>
            <w:r>
              <w:rPr>
                <w:rFonts w:ascii="Arial" w:cs="Arial" w:eastAsia="Arial" w:hAnsi="Arial"/>
                <w:sz w:val="18"/>
                <w:szCs w:val="18"/>
                <w:color w:val="auto"/>
              </w:rPr>
              <w:t>2,271</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15,841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23,534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17,957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lease liabilities and other loans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Income tax payable</w:t>
            </w:r>
          </w:p>
        </w:tc>
        <w:tc>
          <w:tcPr>
            <w:tcW w:w="1500" w:type="dxa"/>
            <w:vAlign w:val="bottom"/>
          </w:tcPr>
          <w:p>
            <w:pPr>
              <w:jc w:val="right"/>
              <w:spacing w:after="0"/>
              <w:rPr>
                <w:sz w:val="20"/>
                <w:szCs w:val="20"/>
                <w:color w:val="auto"/>
              </w:rPr>
            </w:pPr>
            <w:r>
              <w:rPr>
                <w:rFonts w:ascii="Arial" w:cs="Arial" w:eastAsia="Arial" w:hAnsi="Arial"/>
                <w:sz w:val="18"/>
                <w:szCs w:val="18"/>
                <w:color w:val="auto"/>
              </w:rPr>
              <w:t>1,920</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9,701</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34,002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49,843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 EQUITY AND LIABILITIES</w:t>
            </w:r>
          </w:p>
        </w:tc>
        <w:tc>
          <w:tcPr>
            <w:tcW w:w="15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825,303</w:t>
            </w:r>
          </w:p>
        </w:tc>
        <w:tc>
          <w:tcPr>
            <w:tcW w:w="220" w:type="dxa"/>
            <w:vAlign w:val="bottom"/>
          </w:tcPr>
          <w:p>
            <w:pPr>
              <w:spacing w:after="0"/>
              <w:rPr>
                <w:sz w:val="17"/>
                <w:szCs w:val="17"/>
                <w:color w:val="auto"/>
              </w:rPr>
            </w:pPr>
          </w:p>
        </w:tc>
        <w:tc>
          <w:tcPr>
            <w:tcW w:w="158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984,031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0" w:type="dxa"/>
            <w:vAlign w:val="bottom"/>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Other paid in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2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0"/>
              </w:rPr>
              <w:t>Share capital</w:t>
            </w:r>
          </w:p>
        </w:tc>
        <w:tc>
          <w:tcPr>
            <w:tcW w:w="1360" w:type="dxa"/>
            <w:vAlign w:val="bottom"/>
            <w:gridSpan w:val="2"/>
            <w:vMerge w:val="continue"/>
          </w:tcPr>
          <w:p>
            <w:pPr>
              <w:spacing w:after="0"/>
              <w:rPr>
                <w:sz w:val="16"/>
                <w:szCs w:val="16"/>
                <w:color w:val="auto"/>
              </w:rPr>
            </w:pPr>
          </w:p>
        </w:tc>
        <w:tc>
          <w:tcPr>
            <w:tcW w:w="1340" w:type="dxa"/>
            <w:vAlign w:val="bottom"/>
            <w:gridSpan w:val="2"/>
          </w:tcPr>
          <w:p>
            <w:pPr>
              <w:ind w:left="220"/>
              <w:spacing w:after="0" w:line="194" w:lineRule="exact"/>
              <w:rPr>
                <w:sz w:val="20"/>
                <w:szCs w:val="20"/>
                <w:color w:val="auto"/>
              </w:rPr>
            </w:pPr>
            <w:r>
              <w:rPr>
                <w:rFonts w:ascii="Arial" w:cs="Arial" w:eastAsia="Arial" w:hAnsi="Arial"/>
                <w:sz w:val="18"/>
                <w:szCs w:val="18"/>
                <w:b w:val="1"/>
                <w:bCs w:val="1"/>
                <w:color w:val="auto"/>
              </w:rPr>
              <w:t>Retained</w:t>
            </w:r>
          </w:p>
        </w:tc>
        <w:tc>
          <w:tcPr>
            <w:tcW w:w="136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91"/>
              </w:rPr>
              <w:t>translation</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70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(1)</w:t>
            </w:r>
          </w:p>
        </w:tc>
        <w:tc>
          <w:tcPr>
            <w:tcW w:w="260" w:type="dxa"/>
            <w:vAlign w:val="bottom"/>
          </w:tcPr>
          <w:p>
            <w:pPr>
              <w:spacing w:after="0"/>
              <w:rPr>
                <w:sz w:val="22"/>
                <w:szCs w:val="22"/>
                <w:color w:val="auto"/>
              </w:rPr>
            </w:pPr>
          </w:p>
        </w:tc>
        <w:tc>
          <w:tcPr>
            <w:tcW w:w="114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8"/>
                <w:szCs w:val="18"/>
                <w:b w:val="1"/>
                <w:bCs w:val="1"/>
                <w:color w:val="auto"/>
                <w:w w:val="86"/>
              </w:rPr>
              <w:t xml:space="preserve">capital </w:t>
            </w:r>
            <w:r>
              <w:rPr>
                <w:rFonts w:ascii="Arial" w:cs="Arial" w:eastAsia="Arial" w:hAnsi="Arial"/>
                <w:sz w:val="29"/>
                <w:szCs w:val="29"/>
                <w:b w:val="1"/>
                <w:bCs w:val="1"/>
                <w:color w:val="auto"/>
                <w:w w:val="86"/>
                <w:vertAlign w:val="superscript"/>
              </w:rPr>
              <w:t>(1)</w:t>
            </w:r>
          </w:p>
        </w:tc>
        <w:tc>
          <w:tcPr>
            <w:tcW w:w="220" w:type="dxa"/>
            <w:vAlign w:val="bottom"/>
          </w:tcPr>
          <w:p>
            <w:pPr>
              <w:spacing w:after="0"/>
              <w:rPr>
                <w:sz w:val="22"/>
                <w:szCs w:val="22"/>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Total equity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2017, as previously reported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576,512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5,366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583,503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Impact of new accounting standards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(629)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January 1, 2018, restated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576,512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4,737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582,874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23,747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23,747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22,336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Contribution of equity, net of transaction costs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167,153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Share-based remuneration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4,638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743,665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33,122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777,003</w:t>
            </w:r>
          </w:p>
        </w:tc>
        <w:tc>
          <w:tcPr>
            <w:tcW w:w="0" w:type="dxa"/>
            <w:vAlign w:val="bottom"/>
          </w:tcPr>
          <w:p>
            <w:pPr>
              <w:spacing w:after="0"/>
              <w:rPr>
                <w:sz w:val="1"/>
                <w:szCs w:val="1"/>
                <w:color w:val="auto"/>
              </w:rPr>
            </w:pPr>
          </w:p>
        </w:tc>
      </w:tr>
      <w:tr>
        <w:trPr>
          <w:trHeight w:val="664"/>
        </w:trPr>
        <w:tc>
          <w:tcPr>
            <w:tcW w:w="20" w:type="dxa"/>
            <w:vAlign w:val="bottom"/>
          </w:tcPr>
          <w:p>
            <w:pPr>
              <w:spacing w:after="0"/>
              <w:rPr>
                <w:sz w:val="24"/>
                <w:szCs w:val="24"/>
                <w:color w:val="auto"/>
              </w:rPr>
            </w:pPr>
          </w:p>
        </w:tc>
        <w:tc>
          <w:tcPr>
            <w:tcW w:w="468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Foreign</w:t>
            </w: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Other paid in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2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0"/>
              </w:rPr>
              <w:t>Share capital</w:t>
            </w:r>
          </w:p>
        </w:tc>
        <w:tc>
          <w:tcPr>
            <w:tcW w:w="1360" w:type="dxa"/>
            <w:vAlign w:val="bottom"/>
            <w:gridSpan w:val="2"/>
            <w:vMerge w:val="continue"/>
          </w:tcPr>
          <w:p>
            <w:pPr>
              <w:spacing w:after="0"/>
              <w:rPr>
                <w:sz w:val="16"/>
                <w:szCs w:val="16"/>
                <w:color w:val="auto"/>
              </w:rPr>
            </w:pPr>
          </w:p>
        </w:tc>
        <w:tc>
          <w:tcPr>
            <w:tcW w:w="1340" w:type="dxa"/>
            <w:vAlign w:val="bottom"/>
            <w:gridSpan w:val="2"/>
          </w:tcPr>
          <w:p>
            <w:pPr>
              <w:ind w:left="220"/>
              <w:spacing w:after="0" w:line="194" w:lineRule="exact"/>
              <w:rPr>
                <w:sz w:val="20"/>
                <w:szCs w:val="20"/>
                <w:color w:val="auto"/>
              </w:rPr>
            </w:pPr>
            <w:r>
              <w:rPr>
                <w:rFonts w:ascii="Arial" w:cs="Arial" w:eastAsia="Arial" w:hAnsi="Arial"/>
                <w:sz w:val="18"/>
                <w:szCs w:val="18"/>
                <w:b w:val="1"/>
                <w:bCs w:val="1"/>
                <w:color w:val="auto"/>
              </w:rPr>
              <w:t>Retained</w:t>
            </w:r>
          </w:p>
        </w:tc>
        <w:tc>
          <w:tcPr>
            <w:tcW w:w="136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91"/>
              </w:rPr>
              <w:t>translation</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70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(1)</w:t>
            </w:r>
          </w:p>
        </w:tc>
        <w:tc>
          <w:tcPr>
            <w:tcW w:w="260" w:type="dxa"/>
            <w:vAlign w:val="bottom"/>
          </w:tcPr>
          <w:p>
            <w:pPr>
              <w:spacing w:after="0"/>
              <w:rPr>
                <w:sz w:val="22"/>
                <w:szCs w:val="22"/>
                <w:color w:val="auto"/>
              </w:rPr>
            </w:pPr>
          </w:p>
        </w:tc>
        <w:tc>
          <w:tcPr>
            <w:tcW w:w="114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8"/>
                <w:szCs w:val="18"/>
                <w:b w:val="1"/>
                <w:bCs w:val="1"/>
                <w:color w:val="auto"/>
                <w:w w:val="86"/>
              </w:rPr>
              <w:t xml:space="preserve">capital </w:t>
            </w:r>
            <w:r>
              <w:rPr>
                <w:rFonts w:ascii="Arial" w:cs="Arial" w:eastAsia="Arial" w:hAnsi="Arial"/>
                <w:sz w:val="29"/>
                <w:szCs w:val="29"/>
                <w:b w:val="1"/>
                <w:bCs w:val="1"/>
                <w:color w:val="auto"/>
                <w:w w:val="86"/>
                <w:vertAlign w:val="superscript"/>
              </w:rPr>
              <w:t>(1)</w:t>
            </w:r>
          </w:p>
        </w:tc>
        <w:tc>
          <w:tcPr>
            <w:tcW w:w="220" w:type="dxa"/>
            <w:vAlign w:val="bottom"/>
          </w:tcPr>
          <w:p>
            <w:pPr>
              <w:spacing w:after="0"/>
              <w:rPr>
                <w:sz w:val="22"/>
                <w:szCs w:val="22"/>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Total equity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738,690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36,432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775,460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 xml:space="preserve">Impact of implementing IFRS 16 </w:t>
            </w:r>
            <w:r>
              <w:rPr>
                <w:rFonts w:ascii="Arial" w:cs="Arial" w:eastAsia="Arial" w:hAnsi="Arial"/>
                <w:sz w:val="18"/>
                <w:szCs w:val="18"/>
                <w:i w:val="1"/>
                <w:iCs w:val="1"/>
                <w:color w:val="auto"/>
              </w:rPr>
              <w:t>Leases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January 1, 2019, restated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738,690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36,496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775,524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35,923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35,923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33,797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Contribution of equity, net of transaction costs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70,986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Acquisition of treasury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(5,780)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Share-based remuneration expense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As of September 30, 2019</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803,896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76,044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878,154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The amounts of share capital and other paid in capital have been amended by reclassifying amounts between the two equity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60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(used in) operating activities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6,820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(17,539)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21,713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cash flow from (used in) investing activities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(2,426)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(35,311)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(3,713)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(used in) financing activities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169,463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90,206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81,041</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173,857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37,356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185,118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(6,213)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43,993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134,155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foreign exchange difference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(813)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(682)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217,642</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170,697</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217,642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170,697</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60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Financial details by business area</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00" w:type="dxa"/>
            <w:vAlign w:val="bottom"/>
            <w:gridSpan w:val="5"/>
          </w:tcPr>
          <w:p>
            <w:pPr>
              <w:spacing w:after="0"/>
              <w:rPr>
                <w:sz w:val="20"/>
                <w:szCs w:val="20"/>
                <w:color w:val="auto"/>
              </w:rPr>
            </w:pPr>
            <w:r>
              <w:rPr>
                <w:rFonts w:ascii="Arial" w:cs="Arial" w:eastAsia="Arial" w:hAnsi="Arial"/>
                <w:sz w:val="18"/>
                <w:szCs w:val="18"/>
                <w:color w:val="auto"/>
              </w:rPr>
              <w:t>The tables below specify the contribution by each business area:</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4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b w:val="1"/>
                <w:bCs w:val="1"/>
                <w:color w:val="auto"/>
                <w:w w:val="89"/>
              </w:rPr>
              <w:t>Three months ended September 30, 2018</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Business area</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Browser and News</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Fintech</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Retail</w:t>
            </w:r>
          </w:p>
        </w:tc>
        <w:tc>
          <w:tcPr>
            <w:tcW w:w="1440" w:type="dxa"/>
            <w:vAlign w:val="bottom"/>
            <w:gridSpan w:val="2"/>
          </w:tcPr>
          <w:p>
            <w:pPr>
              <w:ind w:left="380"/>
              <w:spacing w:after="0"/>
              <w:rPr>
                <w:sz w:val="20"/>
                <w:szCs w:val="20"/>
                <w:color w:val="auto"/>
              </w:rPr>
            </w:pPr>
            <w:r>
              <w:rPr>
                <w:rFonts w:ascii="Arial" w:cs="Arial" w:eastAsia="Arial" w:hAnsi="Arial"/>
                <w:sz w:val="18"/>
                <w:szCs w:val="18"/>
                <w:b w:val="1"/>
                <w:bCs w:val="1"/>
                <w:color w:val="auto"/>
              </w:rPr>
              <w:t>Other</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0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440" w:type="dxa"/>
            <w:vAlign w:val="bottom"/>
          </w:tcPr>
          <w:p>
            <w:pPr>
              <w:jc w:val="right"/>
              <w:spacing w:after="0"/>
              <w:rPr>
                <w:sz w:val="20"/>
                <w:szCs w:val="20"/>
                <w:color w:val="auto"/>
              </w:rPr>
            </w:pPr>
            <w:r>
              <w:rPr>
                <w:rFonts w:ascii="Arial" w:cs="Arial" w:eastAsia="Arial" w:hAnsi="Arial"/>
                <w:sz w:val="18"/>
                <w:szCs w:val="18"/>
                <w:color w:val="auto"/>
              </w:rPr>
              <w:t>19,130</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Origination fees and interest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Airtime and handsets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Technology licensing and other revenue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34,809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2,871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5,116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42,795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(7,709)</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(8,543)</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(2,991)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Contribution by business area</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26,266</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5,116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31,262</w:t>
            </w:r>
          </w:p>
        </w:tc>
        <w:tc>
          <w:tcPr>
            <w:tcW w:w="0" w:type="dxa"/>
            <w:vAlign w:val="bottom"/>
          </w:tcPr>
          <w:p>
            <w:pPr>
              <w:spacing w:after="0"/>
              <w:rPr>
                <w:sz w:val="1"/>
                <w:szCs w:val="1"/>
                <w:color w:val="auto"/>
              </w:rPr>
            </w:pPr>
          </w:p>
        </w:tc>
      </w:tr>
      <w:tr>
        <w:trPr>
          <w:trHeight w:val="20"/>
        </w:trPr>
        <w:tc>
          <w:tcPr>
            <w:tcW w:w="4040" w:type="dxa"/>
            <w:vAlign w:val="bottom"/>
            <w:gridSpan w:val="3"/>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04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b w:val="1"/>
                <w:bCs w:val="1"/>
                <w:color w:val="auto"/>
                <w:w w:val="89"/>
              </w:rPr>
              <w:t>Three months ended September 30, 2019</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Business area</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Browser and News</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Fintech</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Retail</w:t>
            </w:r>
          </w:p>
        </w:tc>
        <w:tc>
          <w:tcPr>
            <w:tcW w:w="1440" w:type="dxa"/>
            <w:vAlign w:val="bottom"/>
            <w:gridSpan w:val="2"/>
          </w:tcPr>
          <w:p>
            <w:pPr>
              <w:ind w:left="380"/>
              <w:spacing w:after="0"/>
              <w:rPr>
                <w:sz w:val="20"/>
                <w:szCs w:val="20"/>
                <w:color w:val="auto"/>
              </w:rPr>
            </w:pPr>
            <w:r>
              <w:rPr>
                <w:rFonts w:ascii="Arial" w:cs="Arial" w:eastAsia="Arial" w:hAnsi="Arial"/>
                <w:sz w:val="18"/>
                <w:szCs w:val="18"/>
                <w:b w:val="1"/>
                <w:bCs w:val="1"/>
                <w:color w:val="auto"/>
              </w:rPr>
              <w:t>Other</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0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440" w:type="dxa"/>
            <w:vAlign w:val="bottom"/>
          </w:tcPr>
          <w:p>
            <w:pPr>
              <w:jc w:val="right"/>
              <w:spacing w:after="0"/>
              <w:rPr>
                <w:sz w:val="20"/>
                <w:szCs w:val="20"/>
                <w:color w:val="auto"/>
              </w:rPr>
            </w:pPr>
            <w:r>
              <w:rPr>
                <w:rFonts w:ascii="Arial" w:cs="Arial" w:eastAsia="Arial" w:hAnsi="Arial"/>
                <w:sz w:val="18"/>
                <w:szCs w:val="18"/>
                <w:color w:val="auto"/>
              </w:rPr>
              <w:t>21,527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Origination fees and interest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39,858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Airtime and handsets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Technology licensing and other revenue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39,876</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39,858</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6,006</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7,937</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(8,797)</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(16,831)</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(3,198)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(19,986)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(19,641)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(16,693)</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(31,981)</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(6,019)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(54,693)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gridSpan w:val="2"/>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Contribution by business area</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23,183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7,877</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7,937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38,985</w:t>
            </w:r>
          </w:p>
        </w:tc>
        <w:tc>
          <w:tcPr>
            <w:tcW w:w="0" w:type="dxa"/>
            <w:vAlign w:val="bottom"/>
          </w:tcPr>
          <w:p>
            <w:pPr>
              <w:spacing w:after="0"/>
              <w:rPr>
                <w:sz w:val="1"/>
                <w:szCs w:val="1"/>
                <w:color w:val="auto"/>
              </w:rPr>
            </w:pPr>
          </w:p>
        </w:tc>
      </w:tr>
      <w:tr>
        <w:trPr>
          <w:trHeight w:val="20"/>
        </w:trPr>
        <w:tc>
          <w:tcPr>
            <w:tcW w:w="4040" w:type="dxa"/>
            <w:vAlign w:val="bottom"/>
            <w:gridSpan w:val="3"/>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04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b w:val="1"/>
                <w:bCs w:val="1"/>
                <w:color w:val="auto"/>
                <w:w w:val="89"/>
              </w:rPr>
              <w:t>Nine months ended September 30, 2018</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Business area</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Browser and News</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Fintech</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Retail</w:t>
            </w:r>
          </w:p>
        </w:tc>
        <w:tc>
          <w:tcPr>
            <w:tcW w:w="1440" w:type="dxa"/>
            <w:vAlign w:val="bottom"/>
            <w:gridSpan w:val="2"/>
          </w:tcPr>
          <w:p>
            <w:pPr>
              <w:ind w:left="380"/>
              <w:spacing w:after="0"/>
              <w:rPr>
                <w:sz w:val="20"/>
                <w:szCs w:val="20"/>
                <w:color w:val="auto"/>
              </w:rPr>
            </w:pPr>
            <w:r>
              <w:rPr>
                <w:rFonts w:ascii="Arial" w:cs="Arial" w:eastAsia="Arial" w:hAnsi="Arial"/>
                <w:sz w:val="18"/>
                <w:szCs w:val="18"/>
                <w:b w:val="1"/>
                <w:bCs w:val="1"/>
                <w:color w:val="auto"/>
              </w:rPr>
              <w:t>Other</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0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440" w:type="dxa"/>
            <w:vAlign w:val="bottom"/>
          </w:tcPr>
          <w:p>
            <w:pPr>
              <w:jc w:val="right"/>
              <w:spacing w:after="0"/>
              <w:rPr>
                <w:sz w:val="20"/>
                <w:szCs w:val="20"/>
                <w:color w:val="auto"/>
              </w:rPr>
            </w:pPr>
            <w:r>
              <w:rPr>
                <w:rFonts w:ascii="Arial" w:cs="Arial" w:eastAsia="Arial" w:hAnsi="Arial"/>
                <w:sz w:val="18"/>
                <w:szCs w:val="18"/>
                <w:color w:val="auto"/>
              </w:rPr>
              <w:t>59,115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Origination fees and interest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Airtime and handsets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Technology licensing and other revenue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17,771</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101,427</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2,871</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17,771</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122,069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(22,885)</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(25,468)</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(2,991)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gridSpan w:val="2"/>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Contribution by business area</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75,959</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17,771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1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6"/>
          </w:tcPr>
          <w:p>
            <w:pPr>
              <w:ind w:left="460"/>
              <w:spacing w:after="0"/>
              <w:rPr>
                <w:sz w:val="20"/>
                <w:szCs w:val="20"/>
                <w:color w:val="auto"/>
              </w:rPr>
            </w:pPr>
            <w:r>
              <w:rPr>
                <w:rFonts w:ascii="Arial" w:cs="Arial" w:eastAsia="Arial" w:hAnsi="Arial"/>
                <w:sz w:val="18"/>
                <w:szCs w:val="18"/>
                <w:b w:val="1"/>
                <w:bCs w:val="1"/>
                <w:color w:val="auto"/>
              </w:rPr>
              <w:t>Nine months ended September 30, 2019</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Business area</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Browser and News</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Fintech</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Retail</w:t>
            </w:r>
          </w:p>
        </w:tc>
        <w:tc>
          <w:tcPr>
            <w:tcW w:w="1440" w:type="dxa"/>
            <w:vAlign w:val="bottom"/>
            <w:gridSpan w:val="2"/>
          </w:tcPr>
          <w:p>
            <w:pPr>
              <w:ind w:left="380"/>
              <w:spacing w:after="0"/>
              <w:rPr>
                <w:sz w:val="20"/>
                <w:szCs w:val="20"/>
                <w:color w:val="auto"/>
              </w:rPr>
            </w:pPr>
            <w:r>
              <w:rPr>
                <w:rFonts w:ascii="Arial" w:cs="Arial" w:eastAsia="Arial" w:hAnsi="Arial"/>
                <w:sz w:val="18"/>
                <w:szCs w:val="18"/>
                <w:b w:val="1"/>
                <w:bCs w:val="1"/>
                <w:color w:val="auto"/>
              </w:rPr>
              <w:t>Other</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0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440" w:type="dxa"/>
            <w:vAlign w:val="bottom"/>
          </w:tcPr>
          <w:p>
            <w:pPr>
              <w:jc w:val="right"/>
              <w:spacing w:after="0"/>
              <w:rPr>
                <w:sz w:val="20"/>
                <w:szCs w:val="20"/>
                <w:color w:val="auto"/>
              </w:rPr>
            </w:pPr>
            <w:r>
              <w:rPr>
                <w:rFonts w:ascii="Arial" w:cs="Arial" w:eastAsia="Arial" w:hAnsi="Arial"/>
                <w:sz w:val="18"/>
                <w:szCs w:val="18"/>
                <w:color w:val="auto"/>
              </w:rPr>
              <w:t>63,514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Origination fees and interest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56,466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Airtime and handsets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20,471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Technology licensing and other revenue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16,145</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112,163</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56,466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20,471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16,145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205,245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(1,420)</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(11,058)</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(20,428)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(51,730)</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(4,069)</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(27,074)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(27,274)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(53,350)</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(42,201)</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(20,428)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(115,979)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Contribution by business area</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58,813</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14,265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16,145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Personnel expenses including share-based remuneration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specifies the amounts of personnel expenses including share-based remuneration: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608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27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Personnel expenses including share-based remuneration</w:t>
            </w: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 excluding share-based remuneration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Share-based remuneration, including related social security costs</w:t>
            </w:r>
          </w:p>
        </w:tc>
        <w:tc>
          <w:tcPr>
            <w:tcW w:w="1160" w:type="dxa"/>
            <w:vAlign w:val="bottom"/>
          </w:tcPr>
          <w:p>
            <w:pPr>
              <w:jc w:val="right"/>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1,483</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9,378</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19,495</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29,844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46,180</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59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Other expenses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gridSpan w:val="3"/>
          </w:tcPr>
          <w:p>
            <w:pPr>
              <w:spacing w:after="0"/>
              <w:rPr>
                <w:sz w:val="20"/>
                <w:szCs w:val="20"/>
                <w:color w:val="auto"/>
              </w:rPr>
            </w:pPr>
            <w:r>
              <w:rPr>
                <w:rFonts w:ascii="Arial" w:cs="Arial" w:eastAsia="Arial" w:hAnsi="Arial"/>
                <w:sz w:val="18"/>
                <w:szCs w:val="18"/>
                <w:color w:val="auto"/>
              </w:rPr>
              <w:t>The table below specifies the nature of other expenses:</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608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27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Other expenses</w:t>
            </w: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Hosting</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Audit, legal and other advisory services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1,865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2,122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6,743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license fees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Rent and other office expense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1,032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1,553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spacing w:after="0"/>
              <w:rPr>
                <w:sz w:val="20"/>
                <w:szCs w:val="20"/>
                <w:color w:val="auto"/>
              </w:rPr>
            </w:pPr>
            <w:r>
              <w:rPr>
                <w:rFonts w:ascii="Arial" w:cs="Arial" w:eastAsia="Arial" w:hAnsi="Arial"/>
                <w:sz w:val="18"/>
                <w:szCs w:val="18"/>
                <w:color w:val="auto"/>
              </w:rPr>
              <w:t>729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6,992</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8,326</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21,862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22,236</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59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Non-IFRS financial measures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7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60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6080" w:type="dxa"/>
            <w:vAlign w:val="bottom"/>
            <w:gridSpan w:val="4"/>
          </w:tcPr>
          <w:p>
            <w:pPr>
              <w:spacing w:after="0"/>
              <w:rPr>
                <w:sz w:val="20"/>
                <w:szCs w:val="20"/>
                <w:color w:val="auto"/>
              </w:rPr>
            </w:pPr>
            <w:r>
              <w:rPr>
                <w:rFonts w:ascii="Arial" w:cs="Arial" w:eastAsia="Arial" w:hAnsi="Arial"/>
                <w:sz w:val="18"/>
                <w:szCs w:val="18"/>
                <w:color w:val="auto"/>
              </w:rPr>
              <w:t>[US$ thousands, except per share and ADS amounts]</w:t>
            </w: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80" w:type="dxa"/>
            <w:vAlign w:val="bottom"/>
            <w:gridSpan w:val="4"/>
          </w:tcPr>
          <w:p>
            <w:pPr>
              <w:spacing w:after="0" w:line="170" w:lineRule="exact"/>
              <w:rPr>
                <w:sz w:val="20"/>
                <w:szCs w:val="20"/>
                <w:color w:val="auto"/>
              </w:rPr>
            </w:pPr>
            <w:r>
              <w:rPr>
                <w:rFonts w:ascii="Arial" w:cs="Arial" w:eastAsia="Arial" w:hAnsi="Arial"/>
                <w:sz w:val="18"/>
                <w:szCs w:val="18"/>
                <w:color w:val="auto"/>
              </w:rPr>
              <w:t>Reconciliation of net income (loss) to adjusted EBITDA</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9,717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28,120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23,747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Add: Income tax expense (benefit)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970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1,677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5,794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Net finance expense (income)</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Add: Share of net loss (income) of associates and joint ventures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1,757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(23,295)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Depreciation and amortization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Add: Share-based remuneration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761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1,483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Expensed IPO related costs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Adjusted EBITDA</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16,495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12,647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48,283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60" w:type="dxa"/>
            <w:vAlign w:val="bottom"/>
            <w:gridSpan w:val="3"/>
          </w:tcPr>
          <w:p>
            <w:pPr>
              <w:spacing w:after="0" w:line="176" w:lineRule="exact"/>
              <w:rPr>
                <w:sz w:val="20"/>
                <w:szCs w:val="20"/>
                <w:color w:val="auto"/>
              </w:rPr>
            </w:pPr>
            <w:r>
              <w:rPr>
                <w:rFonts w:ascii="Arial" w:cs="Arial" w:eastAsia="Arial" w:hAnsi="Arial"/>
                <w:sz w:val="18"/>
                <w:szCs w:val="18"/>
                <w:color w:val="auto"/>
              </w:rPr>
              <w:t>Reconciliation of net income (loss) to adjusted net income</w:t>
            </w: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9,717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28,120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23,747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Add: Share-based remuneration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761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1,483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Amortization of acquired intangible assets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Add: Expensed IPO related costs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843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Income tax adjustment </w:t>
            </w:r>
            <w:r>
              <w:rPr>
                <w:rFonts w:ascii="Arial" w:cs="Arial" w:eastAsia="Arial" w:hAnsi="Arial"/>
                <w:sz w:val="28"/>
                <w:szCs w:val="28"/>
                <w:color w:val="auto"/>
                <w:vertAlign w:val="superscript"/>
              </w:rPr>
              <w:t>(1)</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12,494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30,578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33,151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43,188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millions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209.99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221.55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196.83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Diluted, millions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216.82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225.89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202.92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 (loss) per ordinary share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US$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Diluted, 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 (loss) per ADS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US$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Diluted, 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0.27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firstLine="8"/>
        <w:spacing w:after="0" w:line="221" w:lineRule="auto"/>
        <w:tabs>
          <w:tab w:leader="none" w:pos="22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Reversal of tax benefit related to the social security cost component of share-based remuneration, deferred taxes on the amortization of acquired intangible assets, and expensed IPO-related costs.</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2019-11-28T05:25:58Z</dcterms:created>
  <dcterms:modified xsi:type="dcterms:W3CDTF">2019-11-28T05:25:58Z</dcterms:modified>
</cp:coreProperties>
</file>