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167005</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190500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left="260" w:right="259"/>
        <w:spacing w:after="0" w:line="263" w:lineRule="auto"/>
        <w:rPr>
          <w:sz w:val="20"/>
          <w:szCs w:val="20"/>
          <w:color w:val="auto"/>
        </w:rPr>
      </w:pPr>
      <w:r>
        <w:rPr>
          <w:rFonts w:ascii="Times New Roman" w:cs="Times New Roman" w:eastAsia="Times New Roman" w:hAnsi="Times New Roman"/>
          <w:sz w:val="21"/>
          <w:szCs w:val="21"/>
          <w:b w:val="1"/>
          <w:bCs w:val="1"/>
          <w:color w:val="auto"/>
        </w:rPr>
        <w:t>REPORT OF FOREIGN PRIVATE ISSUER PURSUANT TO RULE 13a-16 OR 15d-16 UNDER THE SECURITIES EXCHANGE ACT OF 1934</w:t>
      </w:r>
    </w:p>
    <w:p>
      <w:pPr>
        <w:spacing w:after="0" w:line="1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month of April 2025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001-38588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182880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OPERA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207010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Vitaminveien 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0485 Oslo, Norway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jc w:val="center"/>
        <w:ind w:right="19"/>
        <w:spacing w:after="0" w:line="207" w:lineRule="exact"/>
        <w:tabs>
          <w:tab w:leader="none" w:pos="2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-718185</wp:posOffset>
            </wp:positionH>
            <wp:positionV relativeFrom="paragraph">
              <wp:posOffset>424815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821"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63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 w:type="dxa"/>
            <w:vAlign w:val="bottom"/>
          </w:tcPr>
          <w:p>
            <w:pPr>
              <w:spacing w:after="0"/>
              <w:rPr>
                <w:sz w:val="24"/>
                <w:szCs w:val="24"/>
                <w:color w:val="auto"/>
              </w:rPr>
            </w:pPr>
          </w:p>
        </w:tc>
        <w:tc>
          <w:tcPr>
            <w:tcW w:w="100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1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4"/>
                <w:szCs w:val="14"/>
                <w:color w:val="auto"/>
              </w:rPr>
            </w:pPr>
          </w:p>
        </w:tc>
        <w:tc>
          <w:tcPr>
            <w:tcW w:w="9640" w:type="dxa"/>
            <w:vAlign w:val="bottom"/>
            <w:tcBorders>
              <w:bottom w:val="single" w:sz="8" w:color="0000FF"/>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color w:val="0000FF"/>
              </w:rPr>
              <w:t>Press release dated April 28, 2025, titled “Opera Reports 40% Revenue Growth in the First Quarter 2025, Raises Full-Year Guidance</w:t>
            </w:r>
          </w:p>
        </w:tc>
        <w:tc>
          <w:tcPr>
            <w:tcW w:w="360" w:type="dxa"/>
            <w:vAlign w:val="bottom"/>
          </w:tcPr>
          <w:p>
            <w:pPr>
              <w:spacing w:after="0"/>
              <w:rPr>
                <w:sz w:val="14"/>
                <w:szCs w:val="14"/>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FF"/>
              </w:rPr>
              <w:t>Ranges for Both Revenue and Adjusted EBITDA”</w:t>
            </w:r>
          </w:p>
        </w:tc>
      </w:tr>
      <w:tr>
        <w:trPr>
          <w:trHeight w:val="878"/>
        </w:trPr>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40" w:type="dxa"/>
            <w:vAlign w:val="bottom"/>
            <w:tcBorders>
              <w:top w:val="single" w:sz="8" w:color="0000FF"/>
              <w:bottom w:val="single" w:sz="8" w:color="9A9A9A"/>
            </w:tcBorders>
          </w:tcPr>
          <w:p>
            <w:pPr>
              <w:spacing w:after="0"/>
              <w:rPr>
                <w:sz w:val="24"/>
                <w:szCs w:val="24"/>
                <w:color w:val="auto"/>
              </w:rPr>
            </w:pPr>
          </w:p>
        </w:tc>
        <w:tc>
          <w:tcPr>
            <w:tcW w:w="60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76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Opera Limited</w:t>
            </w: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April 28, 2025</w:t>
            </w:r>
          </w:p>
        </w:tc>
        <w:tc>
          <w:tcPr>
            <w:tcW w:w="27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Yahui Zhou</w:t>
            </w:r>
          </w:p>
        </w:tc>
      </w:tr>
      <w:tr>
        <w:trPr>
          <w:trHeight w:val="191"/>
        </w:trPr>
        <w:tc>
          <w:tcPr>
            <w:tcW w:w="3560" w:type="dxa"/>
            <w:vAlign w:val="bottom"/>
          </w:tcPr>
          <w:p>
            <w:pPr>
              <w:spacing w:after="0"/>
              <w:rPr>
                <w:sz w:val="16"/>
                <w:szCs w:val="16"/>
                <w:color w:val="auto"/>
              </w:rPr>
            </w:pPr>
          </w:p>
        </w:tc>
        <w:tc>
          <w:tcPr>
            <w:tcW w:w="2740" w:type="dxa"/>
            <w:vAlign w:val="bottom"/>
          </w:tcPr>
          <w:p>
            <w:pPr>
              <w:ind w:left="20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James Yahui Zhou</w:t>
            </w:r>
          </w:p>
        </w:tc>
      </w:tr>
      <w:tr>
        <w:trPr>
          <w:trHeight w:val="234"/>
        </w:trPr>
        <w:tc>
          <w:tcPr>
            <w:tcW w:w="3560" w:type="dxa"/>
            <w:vAlign w:val="bottom"/>
          </w:tcPr>
          <w:p>
            <w:pPr>
              <w:spacing w:after="0"/>
              <w:rPr>
                <w:sz w:val="20"/>
                <w:szCs w:val="20"/>
                <w:color w:val="auto"/>
              </w:rPr>
            </w:pPr>
          </w:p>
        </w:tc>
        <w:tc>
          <w:tcPr>
            <w:tcW w:w="27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r>
      <w:tr>
        <w:trPr>
          <w:trHeight w:val="844"/>
        </w:trPr>
        <w:tc>
          <w:tcPr>
            <w:tcW w:w="356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19685</wp:posOffset>
            </wp:positionV>
            <wp:extent cx="874395" cy="3168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74395"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40"/>
        <w:spacing w:after="0" w:line="262" w:lineRule="auto"/>
        <w:rPr>
          <w:sz w:val="20"/>
          <w:szCs w:val="20"/>
          <w:color w:val="auto"/>
        </w:rPr>
      </w:pPr>
      <w:r>
        <w:rPr>
          <w:rFonts w:ascii="Times New Roman" w:cs="Times New Roman" w:eastAsia="Times New Roman" w:hAnsi="Times New Roman"/>
          <w:sz w:val="22"/>
          <w:szCs w:val="22"/>
          <w:b w:val="1"/>
          <w:bCs w:val="1"/>
          <w:color w:val="auto"/>
        </w:rPr>
        <w:t>Opera Reports 40% Revenue Growth in the First Quarter 2025, Raises Full-Year Guidance Ranges for Both Revenue and Adjusted EBITDA</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Revenue accelerated further to 40% year-over-year growth and $142.7 million in the quarter, far exceeding the guidance range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Adjusted EBITDA of $32.3 million, a 23% margin, also exceeded the guidance range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Opera raises full-year guidance for both revenue and adjusted EBITDA</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Company guides second quarter 2025 revenue of $134 – 138 million (+24%) with adjusted EBITDA margin of 23% at the midpoints</w:t>
      </w:r>
    </w:p>
    <w:p>
      <w:pPr>
        <w:spacing w:after="0" w:line="200" w:lineRule="exact"/>
        <w:rPr>
          <w:sz w:val="20"/>
          <w:szCs w:val="20"/>
          <w:color w:val="auto"/>
        </w:rPr>
      </w:pPr>
    </w:p>
    <w:p>
      <w:pPr>
        <w:spacing w:after="0" w:line="239"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OSLO, Norway, April 28, 2025 </w:t>
      </w:r>
      <w:r>
        <w:rPr>
          <w:rFonts w:ascii="Times New Roman" w:cs="Times New Roman" w:eastAsia="Times New Roman" w:hAnsi="Times New Roman"/>
          <w:sz w:val="18"/>
          <w:szCs w:val="18"/>
          <w:color w:val="auto"/>
        </w:rPr>
        <w:t>– Opera Limited (NASDAQ: OPRA), one of the world’s major browser developers and a leading internet consumer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brand, today announced financial results for the quarter ended March 31, 2025.</w:t>
      </w:r>
    </w:p>
    <w:p>
      <w:pPr>
        <w:spacing w:after="0" w:line="13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“Our growth acceleration continued in the first quarter of 2025, leading to both revenue and profitability outperformance well beyond our guidance ranges. The continued scaling of revenue from both our browser products and the Opera Ads platform allows us to raise expectations for the remaining quarters of the year beyond our prior guidance,</w:t>
      </w:r>
      <w:r>
        <w:rPr>
          <w:rFonts w:ascii="Times New Roman" w:cs="Times New Roman" w:eastAsia="Times New Roman" w:hAnsi="Times New Roman"/>
          <w:sz w:val="18"/>
          <w:szCs w:val="18"/>
          <w:color w:val="1D1C1D"/>
        </w:rPr>
        <w:t>” said co-CEO Lin Song.</w:t>
      </w:r>
    </w:p>
    <w:p>
      <w:pPr>
        <w:spacing w:after="0" w:line="13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“On the product side, highlights include the launch of Opera Air, our mindfulness-oriented browser, and the introduction of our agentic Browser Operator, which enables our browser to act autonomously and perform tasks for users using local AI capabilities,” continued Mr. Song.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First Quarter 2025 Financial Highlights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00" w:type="dxa"/>
            <w:vAlign w:val="bottom"/>
            <w:gridSpan w:val="6"/>
          </w:tcPr>
          <w:p>
            <w:pPr>
              <w:jc w:val="right"/>
              <w:ind w:right="8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2"/>
        </w:trPr>
        <w:tc>
          <w:tcPr>
            <w:tcW w:w="5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 except percentages and per share amounts</w:t>
            </w:r>
          </w:p>
        </w:tc>
        <w:tc>
          <w:tcPr>
            <w:tcW w:w="18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2025</w:t>
            </w:r>
          </w:p>
        </w:tc>
        <w:tc>
          <w:tcPr>
            <w:tcW w:w="300" w:type="dxa"/>
            <w:vAlign w:val="bottom"/>
          </w:tcPr>
          <w:p>
            <w:pPr>
              <w:spacing w:after="0"/>
              <w:rPr>
                <w:sz w:val="17"/>
                <w:szCs w:val="17"/>
                <w:color w:val="auto"/>
              </w:rPr>
            </w:pPr>
          </w:p>
        </w:tc>
        <w:tc>
          <w:tcPr>
            <w:tcW w:w="14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20" w:type="dxa"/>
            <w:vAlign w:val="bottom"/>
          </w:tcPr>
          <w:p>
            <w:pPr>
              <w:spacing w:after="0"/>
              <w:rPr>
                <w:sz w:val="17"/>
                <w:szCs w:val="17"/>
                <w:color w:val="auto"/>
              </w:rPr>
            </w:pPr>
          </w:p>
        </w:tc>
      </w:tr>
      <w:tr>
        <w:trPr>
          <w:trHeight w:val="210"/>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101,871</w:t>
            </w:r>
          </w:p>
        </w:tc>
        <w:tc>
          <w:tcPr>
            <w:tcW w:w="26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142,717</w:t>
            </w:r>
          </w:p>
        </w:tc>
        <w:tc>
          <w:tcPr>
            <w:tcW w:w="3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5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14,839</w:t>
            </w:r>
          </w:p>
        </w:tc>
        <w:tc>
          <w:tcPr>
            <w:tcW w:w="26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18,283</w:t>
            </w:r>
          </w:p>
        </w:tc>
        <w:tc>
          <w:tcPr>
            <w:tcW w:w="3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Net income margin</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15%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13%</w:t>
            </w: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58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Adjusted net income </w:t>
            </w:r>
            <w:r>
              <w:rPr>
                <w:rFonts w:ascii="Times New Roman" w:cs="Times New Roman" w:eastAsia="Times New Roman" w:hAnsi="Times New Roman"/>
                <w:sz w:val="24"/>
                <w:szCs w:val="24"/>
                <w:color w:val="auto"/>
                <w:vertAlign w:val="superscript"/>
              </w:rPr>
              <w:t>(1)</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17,677</w:t>
            </w:r>
          </w:p>
        </w:tc>
        <w:tc>
          <w:tcPr>
            <w:tcW w:w="26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24,154</w:t>
            </w:r>
          </w:p>
        </w:tc>
        <w:tc>
          <w:tcPr>
            <w:tcW w:w="300" w:type="dxa"/>
            <w:vAlign w:val="bottom"/>
          </w:tcPr>
          <w:p>
            <w:pPr>
              <w:spacing w:after="0"/>
              <w:rPr>
                <w:sz w:val="18"/>
                <w:szCs w:val="18"/>
                <w:color w:val="auto"/>
              </w:rPr>
            </w:pPr>
          </w:p>
        </w:tc>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Adjusted net income margin</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17%</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17%</w:t>
            </w:r>
          </w:p>
        </w:tc>
        <w:tc>
          <w:tcPr>
            <w:tcW w:w="1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5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8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4"/>
                <w:szCs w:val="24"/>
                <w:color w:val="auto"/>
                <w:vertAlign w:val="superscript"/>
              </w:rPr>
              <w:t>(1)</w:t>
            </w: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24,913</w:t>
            </w:r>
          </w:p>
        </w:tc>
        <w:tc>
          <w:tcPr>
            <w:tcW w:w="26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32,259</w:t>
            </w:r>
          </w:p>
        </w:tc>
        <w:tc>
          <w:tcPr>
            <w:tcW w:w="3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Adjusted EBITDA margin</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23%</w:t>
            </w: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26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300" w:type="dxa"/>
            <w:vAlign w:val="bottom"/>
          </w:tcPr>
          <w:p>
            <w:pPr>
              <w:spacing w:after="0"/>
              <w:rPr>
                <w:sz w:val="18"/>
                <w:szCs w:val="18"/>
                <w:color w:val="auto"/>
              </w:rPr>
            </w:pPr>
          </w:p>
        </w:tc>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58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Adjusted diluted earnings per share </w:t>
            </w:r>
            <w:r>
              <w:rPr>
                <w:rFonts w:ascii="Times New Roman" w:cs="Times New Roman" w:eastAsia="Times New Roman" w:hAnsi="Times New Roman"/>
                <w:sz w:val="24"/>
                <w:szCs w:val="24"/>
                <w:color w:val="auto"/>
                <w:vertAlign w:val="superscript"/>
              </w:rPr>
              <w:t>(1)</w:t>
            </w: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26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3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5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flow from operating activities</w:t>
            </w: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31,022</w:t>
            </w:r>
          </w:p>
        </w:tc>
        <w:tc>
          <w:tcPr>
            <w:tcW w:w="26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15,945</w:t>
            </w:r>
          </w:p>
        </w:tc>
        <w:tc>
          <w:tcPr>
            <w:tcW w:w="3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As percentage of adjusted EBITDA</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125%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49%</w:t>
            </w: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58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Free cash flow from operations </w:t>
            </w:r>
            <w:r>
              <w:rPr>
                <w:rFonts w:ascii="Times New Roman" w:cs="Times New Roman" w:eastAsia="Times New Roman" w:hAnsi="Times New Roman"/>
                <w:sz w:val="24"/>
                <w:szCs w:val="24"/>
                <w:color w:val="auto"/>
                <w:vertAlign w:val="superscript"/>
              </w:rPr>
              <w:t>(1)</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8,290</w:t>
            </w:r>
          </w:p>
        </w:tc>
        <w:tc>
          <w:tcPr>
            <w:tcW w:w="26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12,026</w:t>
            </w:r>
          </w:p>
        </w:tc>
        <w:tc>
          <w:tcPr>
            <w:tcW w:w="300" w:type="dxa"/>
            <w:vAlign w:val="bottom"/>
          </w:tcPr>
          <w:p>
            <w:pPr>
              <w:spacing w:after="0"/>
              <w:rPr>
                <w:sz w:val="18"/>
                <w:szCs w:val="18"/>
                <w:color w:val="auto"/>
              </w:rPr>
            </w:pPr>
          </w:p>
        </w:tc>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As percentage of adjusted EBITDA</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33%</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37%</w:t>
            </w:r>
          </w:p>
        </w:tc>
        <w:tc>
          <w:tcPr>
            <w:tcW w:w="1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8"/>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r>
    </w:tbl>
    <w:p>
      <w:pPr>
        <w:ind w:left="380" w:right="280" w:hanging="372"/>
        <w:spacing w:after="0" w:line="280" w:lineRule="auto"/>
        <w:tabs>
          <w:tab w:leader="none" w:pos="3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See the sections below titled </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Non-IFRS Financial Measures</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Reconciliations of Non-IFRS Financial Measures</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for explanations and reconciliations of non-IFRS financial measures.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First Quarter 2025 and Recent Business Highlights</w:t>
      </w:r>
    </w:p>
    <w:p>
      <w:pPr>
        <w:spacing w:after="0" w:line="121" w:lineRule="exact"/>
        <w:rPr>
          <w:sz w:val="20"/>
          <w:szCs w:val="20"/>
          <w:color w:val="auto"/>
        </w:rPr>
      </w:pPr>
    </w:p>
    <w:p>
      <w:pPr>
        <w:jc w:val="both"/>
        <w:ind w:left="760" w:right="560" w:hanging="378"/>
        <w:spacing w:after="0" w:line="312" w:lineRule="auto"/>
        <w:tabs>
          <w:tab w:leader="none" w:pos="7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Further accelerated advertising revenue growth, with Opera Ads being established as a platform of global relevance in the broader mobile advertising ecosystem, resulting in advertising revenue growing 63% year-over-year to $95.6 million, representing 67% of total revenue.</w:t>
      </w:r>
    </w:p>
    <w:p>
      <w:pPr>
        <w:spacing w:after="0" w:line="31" w:lineRule="exact"/>
        <w:rPr>
          <w:rFonts w:ascii="Times New Roman" w:cs="Times New Roman" w:eastAsia="Times New Roman" w:hAnsi="Times New Roman"/>
          <w:sz w:val="17"/>
          <w:szCs w:val="17"/>
          <w:color w:val="auto"/>
        </w:rPr>
      </w:pPr>
    </w:p>
    <w:p>
      <w:pPr>
        <w:ind w:left="760" w:right="340" w:hanging="378"/>
        <w:spacing w:after="0" w:line="282"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Search revenue grew 8% year-over-year to $46.6 million, or 33% of total revenue, while search related functionality also represents an entry point for direct advertising monetization of high user intent.</w:t>
      </w:r>
    </w:p>
    <w:p>
      <w:pPr>
        <w:spacing w:after="0" w:line="53" w:lineRule="exact"/>
        <w:rPr>
          <w:rFonts w:ascii="Times New Roman" w:cs="Times New Roman" w:eastAsia="Times New Roman" w:hAnsi="Times New Roman"/>
          <w:sz w:val="18"/>
          <w:szCs w:val="18"/>
          <w:color w:val="auto"/>
        </w:rPr>
      </w:pPr>
    </w:p>
    <w:p>
      <w:pPr>
        <w:ind w:left="760" w:right="100" w:hanging="378"/>
        <w:spacing w:after="0" w:line="282"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 had 293 million average monthly active users (“MAUs”) in the quarter, with annualized average revenue per user (“ARPU”) of $1.94, an increase of 45% versus the first quarter of 2024.</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 GX gaming browser had 34 million average MAUs in the quarter across PC and mobile, up 14% year-over-year.</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dividend of $0.40 per share under our semi-annual dividend program was paid in January.</w:t>
      </w:r>
    </w:p>
    <w:p>
      <w:pPr>
        <w:spacing w:after="0" w:line="117" w:lineRule="exact"/>
        <w:rPr>
          <w:rFonts w:ascii="Times New Roman" w:cs="Times New Roman" w:eastAsia="Times New Roman" w:hAnsi="Times New Roman"/>
          <w:sz w:val="18"/>
          <w:szCs w:val="18"/>
          <w:color w:val="auto"/>
        </w:rPr>
      </w:pPr>
    </w:p>
    <w:p>
      <w:pPr>
        <w:ind w:left="760" w:right="200" w:hanging="378"/>
        <w:spacing w:after="0" w:line="282"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flow from operating activities was $15.9 million, with working capital items affected by the continued growth acceleration within the first quarter. At quarter-end, cash and cash equivalents totaled $103.5 million.</w:t>
      </w:r>
    </w:p>
    <w:p>
      <w:pPr>
        <w:spacing w:after="0" w:line="53" w:lineRule="exact"/>
        <w:rPr>
          <w:rFonts w:ascii="Times New Roman" w:cs="Times New Roman" w:eastAsia="Times New Roman" w:hAnsi="Times New Roman"/>
          <w:sz w:val="18"/>
          <w:szCs w:val="18"/>
          <w:color w:val="auto"/>
        </w:rPr>
      </w:pPr>
    </w:p>
    <w:p>
      <w:pPr>
        <w:ind w:left="760" w:right="540" w:hanging="378"/>
        <w:spacing w:after="0" w:line="282"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 previewed the Browser Operator, an AI agent in the Opera browser capable of performing tasks on behalf of users based on natural language instructions, marking the first step towards broadening the role of the browser to become agentic.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First Quarter 2025 Financial Results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comparisons in this section are relative to the first quarter of 2024 unless otherwise stated.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color w:val="auto"/>
        </w:rPr>
        <w:t>increased 40% to $142.7 million.</w:t>
      </w:r>
    </w:p>
    <w:p>
      <w:pPr>
        <w:spacing w:after="0" w:line="121"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revenue increased 63% to $95.6 million.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Search revenue increased 8% to $46.6 million.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licensing and other revenue was $0.5 million.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Operating expenses </w:t>
      </w:r>
      <w:r>
        <w:rPr>
          <w:rFonts w:ascii="Times New Roman" w:cs="Times New Roman" w:eastAsia="Times New Roman" w:hAnsi="Times New Roman"/>
          <w:sz w:val="18"/>
          <w:szCs w:val="18"/>
          <w:color w:val="auto"/>
        </w:rPr>
        <w:t>increased 47% to $121.6 million.</w:t>
      </w:r>
    </w:p>
    <w:p>
      <w:pPr>
        <w:spacing w:after="0" w:line="121" w:lineRule="exact"/>
        <w:rPr>
          <w:sz w:val="20"/>
          <w:szCs w:val="20"/>
          <w:color w:val="auto"/>
        </w:rPr>
      </w:pPr>
    </w:p>
    <w:p>
      <w:pPr>
        <w:ind w:left="760" w:right="10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amount of technology and platform fees, content cost and cost of inventory sold, all being costs of revenue, was $50.7 million, or 36% of revenue, as Opera Ads achieved additional scale in the quarter.</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expenses excluding share-based compensation increased 8% to $17.6 million, mostly due to periodic salary adjustments.</w:t>
      </w:r>
    </w:p>
    <w:p>
      <w:pPr>
        <w:spacing w:after="0" w:line="117" w:lineRule="exact"/>
        <w:rPr>
          <w:rFonts w:ascii="Times New Roman" w:cs="Times New Roman" w:eastAsia="Times New Roman" w:hAnsi="Times New Roman"/>
          <w:sz w:val="18"/>
          <w:szCs w:val="18"/>
          <w:color w:val="auto"/>
        </w:rPr>
      </w:pPr>
    </w:p>
    <w:p>
      <w:pPr>
        <w:jc w:val="both"/>
        <w:ind w:left="760" w:right="20" w:hanging="378"/>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based compensation expense was $6.0 million, a 130% increase year-over-year. In early 2025, Opera granted 1.9 million share-equivalent RSUs with vesting over the 2025-2028 period, predominantly extending grants that had reached their final vesting period. With front-loaded cost recognition of multi-year grants, we will continue to see an elevated cost level throughout 2025.</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and distribution expenses increased 16% to $34.2 million.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increased 44% to $4.4 million, primarily due to the AI data cluster acquired in early 2024.</w:t>
      </w:r>
    </w:p>
    <w:p>
      <w:pPr>
        <w:spacing w:after="0" w:line="117" w:lineRule="exact"/>
        <w:rPr>
          <w:rFonts w:ascii="Times New Roman" w:cs="Times New Roman" w:eastAsia="Times New Roman" w:hAnsi="Times New Roman"/>
          <w:sz w:val="18"/>
          <w:szCs w:val="18"/>
          <w:color w:val="auto"/>
        </w:rPr>
      </w:pPr>
    </w:p>
    <w:p>
      <w:pPr>
        <w:ind w:left="760" w:right="34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operating expenses increased 22% to $8.7 million, driven by professional services and impairment of non-financial assets, partially offset by a reduction in software license fees.</w:t>
      </w:r>
    </w:p>
    <w:p>
      <w:pPr>
        <w:spacing w:after="0" w:line="11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Operating profit </w:t>
      </w:r>
      <w:r>
        <w:rPr>
          <w:rFonts w:ascii="Times New Roman" w:cs="Times New Roman" w:eastAsia="Times New Roman" w:hAnsi="Times New Roman"/>
          <w:sz w:val="18"/>
          <w:szCs w:val="18"/>
          <w:color w:val="auto"/>
        </w:rPr>
        <w:t>was $21.1 million, representing a 15% margin, compared to an operating profit of $19.6 million and a margin of 19% in the first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2024.</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Net finance loss </w:t>
      </w:r>
      <w:r>
        <w:rPr>
          <w:rFonts w:ascii="Times New Roman" w:cs="Times New Roman" w:eastAsia="Times New Roman" w:hAnsi="Times New Roman"/>
          <w:sz w:val="18"/>
          <w:szCs w:val="18"/>
          <w:color w:val="auto"/>
        </w:rPr>
        <w:t>was $0.3 million, a result of foreign exchange loss of $0.8 million, offset by $0.5 million in net interest income.</w:t>
      </w:r>
    </w:p>
    <w:p>
      <w:pPr>
        <w:spacing w:after="0" w:line="185" w:lineRule="exact"/>
        <w:rPr>
          <w:sz w:val="20"/>
          <w:szCs w:val="20"/>
          <w:color w:val="auto"/>
        </w:rPr>
      </w:pPr>
    </w:p>
    <w:p>
      <w:pPr>
        <w:ind w:right="3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Income tax expense </w:t>
      </w:r>
      <w:r>
        <w:rPr>
          <w:rFonts w:ascii="Times New Roman" w:cs="Times New Roman" w:eastAsia="Times New Roman" w:hAnsi="Times New Roman"/>
          <w:sz w:val="18"/>
          <w:szCs w:val="18"/>
          <w:color w:val="auto"/>
        </w:rPr>
        <w:t>was $2.5 million, corresponding to an effective tax rate of 12%, and also representing 8% of adjusted EBITDA. This compares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income tax expense of $4.6 million in the first quarter of 2024, representing 19% of adjusted EBITDA. The income tax expense was reduced by an increased U.S. dollar value of our Norwegian deferred tax assets following a strengthening of the Norwegian krone relative to the dollar, and by the recognition of tax benefits related to Opera’s equity awards to employees.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Net income </w:t>
      </w:r>
      <w:r>
        <w:rPr>
          <w:rFonts w:ascii="Times New Roman" w:cs="Times New Roman" w:eastAsia="Times New Roman" w:hAnsi="Times New Roman"/>
          <w:sz w:val="18"/>
          <w:szCs w:val="18"/>
          <w:color w:val="auto"/>
        </w:rPr>
        <w:t>was $18.3 million, representing a 13% margin, compared to net income of $14.8 million and a margin of 15% in the first quarter of 2024.</w:t>
      </w:r>
    </w:p>
    <w:p>
      <w:pPr>
        <w:spacing w:after="0" w:line="19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Adjusted net income</w:t>
      </w:r>
      <w:r>
        <w:rPr>
          <w:rFonts w:ascii="Times New Roman" w:cs="Times New Roman" w:eastAsia="Times New Roman" w:hAnsi="Times New Roman"/>
          <w:sz w:val="18"/>
          <w:szCs w:val="18"/>
          <w:color w:val="auto"/>
        </w:rPr>
        <w:t>, which excludes accounting impacts from share-based compensation, investments in unconsolidated entities and other items that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be indicative of the underlying and recurring profitability of our core operations, was $24.2 million, representing a 17% margin and an increase of 37% relative to $17.7 million and an equal 17% margin in the first quarter of 2024.</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19" w:right="359" w:bottom="1440" w:gutter="0" w:footer="0" w:header="0"/>
        </w:sectPr>
      </w:pPr>
    </w:p>
    <w:bookmarkStart w:id="5" w:name="page6"/>
    <w:bookmarkEnd w:id="5"/>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was $32.3 million, representing a 23% margin and an increase of 29% relative to $24.9 million and a 24% margin in the first quarter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Diluted earnings per share </w:t>
      </w:r>
      <w:r>
        <w:rPr>
          <w:rFonts w:ascii="Times New Roman" w:cs="Times New Roman" w:eastAsia="Times New Roman" w:hAnsi="Times New Roman"/>
          <w:sz w:val="18"/>
          <w:szCs w:val="18"/>
          <w:color w:val="auto"/>
        </w:rPr>
        <w:t>was $0.20, whereas</w:t>
      </w:r>
      <w:r>
        <w:rPr>
          <w:rFonts w:ascii="Times New Roman" w:cs="Times New Roman" w:eastAsia="Times New Roman" w:hAnsi="Times New Roman"/>
          <w:sz w:val="18"/>
          <w:szCs w:val="18"/>
          <w:b w:val="1"/>
          <w:bCs w:val="1"/>
          <w:color w:val="auto"/>
        </w:rPr>
        <w:t xml:space="preserve"> adjusted diluted earnings per share </w:t>
      </w:r>
      <w:r>
        <w:rPr>
          <w:rFonts w:ascii="Times New Roman" w:cs="Times New Roman" w:eastAsia="Times New Roman" w:hAnsi="Times New Roman"/>
          <w:sz w:val="18"/>
          <w:szCs w:val="18"/>
          <w:color w:val="auto"/>
        </w:rPr>
        <w:t>was $0.27.</w:t>
      </w:r>
    </w:p>
    <w:p>
      <w:pPr>
        <w:spacing w:after="0" w:line="185"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Net cash flow from operating activities </w:t>
      </w:r>
      <w:r>
        <w:rPr>
          <w:rFonts w:ascii="Times New Roman" w:cs="Times New Roman" w:eastAsia="Times New Roman" w:hAnsi="Times New Roman"/>
          <w:sz w:val="18"/>
          <w:szCs w:val="18"/>
          <w:color w:val="auto"/>
        </w:rPr>
        <w:t>was $15.9 million, or 49% of adjusted EBITDA.</w:t>
      </w:r>
      <w:r>
        <w:rPr>
          <w:rFonts w:ascii="Times New Roman" w:cs="Times New Roman" w:eastAsia="Times New Roman" w:hAnsi="Times New Roman"/>
          <w:sz w:val="18"/>
          <w:szCs w:val="18"/>
          <w:b w:val="1"/>
          <w:bCs w:val="1"/>
          <w:color w:val="auto"/>
        </w:rPr>
        <w:t xml:space="preserve"> Free cash flow from operations </w:t>
      </w:r>
      <w:r>
        <w:rPr>
          <w:rFonts w:ascii="Times New Roman" w:cs="Times New Roman" w:eastAsia="Times New Roman" w:hAnsi="Times New Roman"/>
          <w:sz w:val="18"/>
          <w:szCs w:val="18"/>
          <w:color w:val="auto"/>
        </w:rPr>
        <w:t>was $12.0 million, or 37%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adjusted EBITDA. As in prior years, we continue to expect fluctuations in cash conversion on a quarterly basis, while stabilizing year-to-date as we progress towards a full-year basis.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Outlook</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20" w:type="dxa"/>
            <w:vAlign w:val="bottom"/>
          </w:tcPr>
          <w:p>
            <w:pPr>
              <w:spacing w:after="0"/>
              <w:rPr>
                <w:sz w:val="18"/>
                <w:szCs w:val="18"/>
                <w:color w:val="auto"/>
              </w:rPr>
            </w:pPr>
          </w:p>
        </w:tc>
        <w:tc>
          <w:tcPr>
            <w:tcW w:w="28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Second Quarter 2025 Guidance</w:t>
            </w:r>
          </w:p>
        </w:tc>
        <w:tc>
          <w:tcPr>
            <w:tcW w:w="320" w:type="dxa"/>
            <w:vAlign w:val="bottom"/>
          </w:tcPr>
          <w:p>
            <w:pPr>
              <w:spacing w:after="0"/>
              <w:rPr>
                <w:sz w:val="18"/>
                <w:szCs w:val="18"/>
                <w:color w:val="auto"/>
              </w:rPr>
            </w:pPr>
          </w:p>
        </w:tc>
        <w:tc>
          <w:tcPr>
            <w:tcW w:w="28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Full-Year 2025 Guidance</w:t>
            </w:r>
          </w:p>
        </w:tc>
        <w:tc>
          <w:tcPr>
            <w:tcW w:w="280" w:type="dxa"/>
            <w:vAlign w:val="bottom"/>
          </w:tcPr>
          <w:p>
            <w:pPr>
              <w:spacing w:after="0"/>
              <w:rPr>
                <w:sz w:val="18"/>
                <w:szCs w:val="18"/>
                <w:color w:val="auto"/>
              </w:rPr>
            </w:pPr>
          </w:p>
        </w:tc>
      </w:tr>
      <w:tr>
        <w:trPr>
          <w:trHeight w:val="162"/>
        </w:trPr>
        <w:tc>
          <w:tcPr>
            <w:tcW w:w="5020" w:type="dxa"/>
            <w:vAlign w:val="bottom"/>
          </w:tcPr>
          <w:p>
            <w:pPr>
              <w:spacing w:after="0" w:line="162" w:lineRule="exact"/>
              <w:rPr>
                <w:sz w:val="20"/>
                <w:szCs w:val="20"/>
                <w:color w:val="auto"/>
              </w:rPr>
            </w:pPr>
            <w:r>
              <w:rPr>
                <w:rFonts w:ascii="Times New Roman" w:cs="Times New Roman" w:eastAsia="Times New Roman" w:hAnsi="Times New Roman"/>
                <w:sz w:val="18"/>
                <w:szCs w:val="18"/>
                <w:color w:val="auto"/>
              </w:rPr>
              <w:t>Revenue</w:t>
            </w:r>
          </w:p>
        </w:tc>
        <w:tc>
          <w:tcPr>
            <w:tcW w:w="3140" w:type="dxa"/>
            <w:vAlign w:val="bottom"/>
            <w:gridSpan w:val="2"/>
          </w:tcPr>
          <w:p>
            <w:pPr>
              <w:jc w:val="right"/>
              <w:ind w:right="340"/>
              <w:spacing w:after="0" w:line="162" w:lineRule="exact"/>
              <w:rPr>
                <w:sz w:val="20"/>
                <w:szCs w:val="20"/>
                <w:color w:val="auto"/>
              </w:rPr>
            </w:pPr>
            <w:r>
              <w:rPr>
                <w:rFonts w:ascii="Times New Roman" w:cs="Times New Roman" w:eastAsia="Times New Roman" w:hAnsi="Times New Roman"/>
                <w:sz w:val="18"/>
                <w:szCs w:val="18"/>
                <w:color w:val="auto"/>
              </w:rPr>
              <w:t>$134 – 138 million</w:t>
            </w:r>
          </w:p>
        </w:tc>
        <w:tc>
          <w:tcPr>
            <w:tcW w:w="3080" w:type="dxa"/>
            <w:vAlign w:val="bottom"/>
            <w:gridSpan w:val="2"/>
          </w:tcPr>
          <w:p>
            <w:pPr>
              <w:jc w:val="right"/>
              <w:ind w:right="280"/>
              <w:spacing w:after="0" w:line="162" w:lineRule="exact"/>
              <w:rPr>
                <w:sz w:val="20"/>
                <w:szCs w:val="20"/>
                <w:color w:val="auto"/>
              </w:rPr>
            </w:pPr>
            <w:r>
              <w:rPr>
                <w:rFonts w:ascii="Times New Roman" w:cs="Times New Roman" w:eastAsia="Times New Roman" w:hAnsi="Times New Roman"/>
                <w:sz w:val="18"/>
                <w:szCs w:val="18"/>
                <w:color w:val="auto"/>
              </w:rPr>
              <w:t>$567 – 582 million</w:t>
            </w:r>
          </w:p>
        </w:tc>
      </w:tr>
      <w:tr>
        <w:trPr>
          <w:trHeight w:val="218"/>
        </w:trPr>
        <w:tc>
          <w:tcPr>
            <w:tcW w:w="5020" w:type="dxa"/>
            <w:vAlign w:val="bottom"/>
          </w:tcPr>
          <w:p>
            <w:pPr>
              <w:spacing w:after="0" w:line="218" w:lineRule="exact"/>
              <w:rPr>
                <w:sz w:val="20"/>
                <w:szCs w:val="20"/>
                <w:color w:val="auto"/>
              </w:rPr>
            </w:pPr>
            <w:r>
              <w:rPr>
                <w:rFonts w:ascii="Times New Roman" w:cs="Times New Roman" w:eastAsia="Times New Roman" w:hAnsi="Times New Roman"/>
                <w:sz w:val="18"/>
                <w:szCs w:val="18"/>
                <w:i w:val="1"/>
                <w:iCs w:val="1"/>
                <w:color w:val="auto"/>
              </w:rPr>
              <w:t xml:space="preserve">Year-over-year revenue growth </w:t>
            </w:r>
            <w:r>
              <w:rPr>
                <w:rFonts w:ascii="Times New Roman" w:cs="Times New Roman" w:eastAsia="Times New Roman" w:hAnsi="Times New Roman"/>
                <w:sz w:val="24"/>
                <w:szCs w:val="24"/>
                <w:i w:val="1"/>
                <w:iCs w:val="1"/>
                <w:color w:val="auto"/>
                <w:vertAlign w:val="superscript"/>
              </w:rPr>
              <w:t>(1)</w:t>
            </w:r>
          </w:p>
        </w:tc>
        <w:tc>
          <w:tcPr>
            <w:tcW w:w="3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i w:val="1"/>
                <w:iCs w:val="1"/>
                <w:color w:val="auto"/>
              </w:rPr>
              <w:t>24%</w:t>
            </w:r>
          </w:p>
        </w:tc>
        <w:tc>
          <w:tcPr>
            <w:tcW w:w="3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20%</w:t>
            </w:r>
          </w:p>
        </w:tc>
      </w:tr>
      <w:tr>
        <w:trPr>
          <w:trHeight w:val="214"/>
        </w:trPr>
        <w:tc>
          <w:tcPr>
            <w:tcW w:w="5020" w:type="dxa"/>
            <w:vAlign w:val="bottom"/>
          </w:tcPr>
          <w:p>
            <w:pPr>
              <w:spacing w:after="0" w:line="214"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4"/>
                <w:szCs w:val="24"/>
                <w:color w:val="auto"/>
                <w:vertAlign w:val="superscript"/>
              </w:rPr>
              <w:t>(2)</w:t>
            </w:r>
          </w:p>
        </w:tc>
        <w:tc>
          <w:tcPr>
            <w:tcW w:w="3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$30 – 32 million</w:t>
            </w:r>
          </w:p>
        </w:tc>
        <w:tc>
          <w:tcPr>
            <w:tcW w:w="3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$135 – 140 million</w:t>
            </w:r>
          </w:p>
        </w:tc>
      </w:tr>
      <w:tr>
        <w:trPr>
          <w:trHeight w:val="252"/>
        </w:trPr>
        <w:tc>
          <w:tcPr>
            <w:tcW w:w="5020" w:type="dxa"/>
            <w:vAlign w:val="bottom"/>
          </w:tcPr>
          <w:p>
            <w:pPr>
              <w:spacing w:after="0" w:line="251" w:lineRule="exact"/>
              <w:rPr>
                <w:sz w:val="20"/>
                <w:szCs w:val="20"/>
                <w:color w:val="auto"/>
              </w:rPr>
            </w:pPr>
            <w:r>
              <w:rPr>
                <w:rFonts w:ascii="Times New Roman" w:cs="Times New Roman" w:eastAsia="Times New Roman" w:hAnsi="Times New Roman"/>
                <w:sz w:val="18"/>
                <w:szCs w:val="18"/>
                <w:i w:val="1"/>
                <w:iCs w:val="1"/>
                <w:color w:val="auto"/>
              </w:rPr>
              <w:t xml:space="preserve">Adjusted EBITDA margin </w:t>
            </w:r>
            <w:r>
              <w:rPr>
                <w:rFonts w:ascii="Times New Roman" w:cs="Times New Roman" w:eastAsia="Times New Roman" w:hAnsi="Times New Roman"/>
                <w:sz w:val="24"/>
                <w:szCs w:val="24"/>
                <w:i w:val="1"/>
                <w:iCs w:val="1"/>
                <w:color w:val="auto"/>
                <w:vertAlign w:val="superscript"/>
              </w:rPr>
              <w:t>(1)</w:t>
            </w:r>
          </w:p>
        </w:tc>
        <w:tc>
          <w:tcPr>
            <w:tcW w:w="3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i w:val="1"/>
                <w:iCs w:val="1"/>
                <w:color w:val="auto"/>
              </w:rPr>
              <w:t>23%</w:t>
            </w:r>
          </w:p>
        </w:tc>
        <w:tc>
          <w:tcPr>
            <w:tcW w:w="3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24%</w:t>
            </w:r>
          </w:p>
        </w:tc>
      </w:t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2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-685165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80" w:hanging="372"/>
        <w:spacing w:after="0"/>
        <w:tabs>
          <w:tab w:leader="none" w:pos="3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percentages shown for revenue growth and adjusted EBITDA margin have been calculated based on the midpoints of the revenue and adjusted EBITDA guidance.</w:t>
      </w:r>
    </w:p>
    <w:p>
      <w:pPr>
        <w:spacing w:after="0" w:line="12"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the section below titled “Non-IFRS Financial Measures” for explanations of non-IFRS financial measures.</w:t>
      </w:r>
    </w:p>
    <w:p>
      <w:pPr>
        <w:spacing w:after="0" w:line="18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“With 40% revenue growth at the high-end of the expected profitability margin, the first quarter of 2025 truly demonstrated the underlying performance potential of our monetization capabilities. We benefit from a diversified geographic footprint and our demonstrated ability to quickly seize growth opportunities as our products scale, representing key advantages as we navigate volatile market environments,” said Frode Jacobsen, CFO.</w:t>
      </w:r>
    </w:p>
    <w:p>
      <w:pPr>
        <w:spacing w:after="0" w:line="135"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“As a result, we are in a position to significantly raise our full-year guidance, which reflects our Q1 overperformance as well as incremental uplifts in what we had previously assumed for the remaining quarters of the year,” continued Mr. Jacobsen.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 Call and Webcast Information</w:t>
      </w:r>
    </w:p>
    <w:p>
      <w:pPr>
        <w:spacing w:after="0" w:line="18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Opera’s management will host a conference call to discuss the first quarter 2025 financial results at 8:00 a.m. ET today. The live webcast of the conference call can be accessed at our investor relations website at investor.opera.com, along with the earnings press release and financial tables. Following the call, a replay will be available at the same website.</w:t>
      </w:r>
    </w:p>
    <w:p>
      <w:pPr>
        <w:spacing w:after="0" w:line="13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also provide announcements on our investor relations website at investor.opera.com regarding our financial performance and other matters, including SEC filings, press releases, slide presentations, business blog posts and information on corporate governance.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Non-IFRS Financial Measures</w:t>
      </w:r>
    </w:p>
    <w:p>
      <w:pPr>
        <w:spacing w:after="0" w:line="18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addition to revenue, net income, net cash flow from operating activities and other financial measures presented in accordance with IFRS Accounting Standards, we use adjusted net income, adjusted EBITDA, adjusted diluted earnings per share and free cash flow from operations to manage our business, make planning decisions, evaluate our performance, and allocate resources. We believe adjusted net income, adjusted EBITDA and adjusted diluted earnings per share provide meaningful supplemental information regarding our financial performance by excluding certain items that may not be indicative of recurring core business operating results. We believe free cash flow from operations provides useful information regarding our ability to generate cash from business operations that is available for acquisitions and other investments, and for distributions to our shareholders, even though free cash flow from operations does not represent the residual cash flow available for discretionary expenditures.</w:t>
      </w:r>
    </w:p>
    <w:p>
      <w:pPr>
        <w:spacing w:after="0" w:line="14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define adjusted net income as net income excluding (i) profit (loss) from discontinued operations, (ii) gain (loss) on investments in unconsolidated entities, (iii) non-recurring expenses, (iv) impairment of non-financial assets, (v) amortization of acquired intangible assets, (vi) share-based compensation expenses, and (vii) the income tax effect of these adjustments. Adjusted net income margin is calculated as adjusted net income divided by revenue, whereas adjusted diluted earnings per share is calculated as adjusted net income divided by the diluted weighted average number of shares outstanding.</w:t>
      </w:r>
    </w:p>
    <w:p>
      <w:pPr>
        <w:spacing w:after="0" w:line="153"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We define adjusted EBITDA as net income excluding (i) profit (loss) from discontinued operations, (ii) income tax expense, (iii) net finance income (expense), (iv) gain (loss) on long-term investments in unconsolidated entities, (v) non-recurring expenses, (vi) impairment of non-financial assets, (vii) depreciation and amortization, (viii) share-based compensation expenses, and (ix) other operating income. Adjusted EBITDA margin is calculated as adjusted EBITDA divided by revenue.</w:t>
      </w:r>
    </w:p>
    <w:p>
      <w:pPr>
        <w:spacing w:after="0" w:line="139"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We define free cash flow from operations as net cash flows from (used in) operating activities less (i) purchases of fixed and intangible assets, (ii) development expenditure and (iii) payment of lease liabilities.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6" w:name="page7"/>
    <w:bookmarkEnd w:id="6"/>
    <w:p>
      <w:pPr>
        <w:ind w:right="140"/>
        <w:spacing w:after="0" w:line="253" w:lineRule="auto"/>
        <w:rPr>
          <w:sz w:val="20"/>
          <w:szCs w:val="20"/>
          <w:color w:val="auto"/>
        </w:rPr>
      </w:pPr>
      <w:r>
        <w:rPr>
          <w:rFonts w:ascii="Times New Roman" w:cs="Times New Roman" w:eastAsia="Times New Roman" w:hAnsi="Times New Roman"/>
          <w:sz w:val="18"/>
          <w:szCs w:val="18"/>
          <w:color w:val="auto"/>
        </w:rPr>
        <w:t>We believe the non-IFRS financial measures defined above are useful to investors both because they allow for greater transparency with respect to key metrics used by management in its financial and operational decision-making and because they are used by our institutional investors and the analyst community to help them analyze the health of our business. However, these non-IFRS financial measures should not be considered substitutes for, or superior to, the financial information presented in accordance with IFRS Accounting Standards. Our calculations of adjusted net income, adjusted EBITDA, adjusted diluted earnings per share and free cash flow from operations may differ from similarly-titled non-IFRS measures, if any, reported by our peers. In addition, the non-IFRS financial measures may be limited in their usefulness because they do not present the full economic effects of certain items of income, expenses and cash flows. We compensate for these limitations by providing reconciliations of our non-IFRS financial measures to the most closely related financial measures in IFRS Accounting Standards in the section titled “Reconciliations of Non-IFRS Financial Measures” included at the end of this earnings press release. We encourage investors and others to review our financial information in its entirety, not to rely on any single financial measure and to view our reported non-IFRS financial measures in conjunction with net income and net cash flow from operating activities.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Safe Harbor Statement</w:t>
      </w:r>
    </w:p>
    <w:p>
      <w:pPr>
        <w:spacing w:after="0" w:line="18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contains statements of a forward-looking nature. These statements, including statements relating to the Company’s future financial and operating results, are made under the “safe harbor” provisions of the U.S. Private Securities Litigation Reform Act of 1995. You can identify these forward-looking statements by terminology such as “will,” “may,” “expect,” “believe,” “anticipate,” “intend,” “aim,” “estimate,” “seek,” “plan,” “potential,” “continue,” “ongoing,” “target,” “guidance,” “is/are likely to,” “future” and similar statements. Among other things, management’s quotations and the Business Outlook section contain forward-looking statements. The Company may also make forward-looking statements in its periodic reports to the U.S. Securities and Exchange Commission (the “SEC”), in press releases and other written materials and in oral statements made by its officers, directors or employees to third parties. These forward-looking statements involve known and unknown risks and uncertainties and are based on current expectations, assumptions, estimates and projections about the Company and the industry in which it operates. Potential risks and uncertainties include, but are not limited to, those relating to: the duration and development of international wars and conflicts, such as in Ukraine and the Middle East, and related economic sanctions, as well as resulting changes in consumer behaviors; the outcome of regulatory processes or litigation involving the Company or its business partners; the Company and its goals and strategies; expected development and launch, and market acceptance, of products and services; Company’s expectations regarding demand for and market acceptance of its brands, platforms and services; Company’s expectations regarding changes in its user base, user retention and level of engagement; changes in consumer behavior, for example from increased adoption of AI powered services; Company’s ability to attract, retain and monetize users; Company’s ability to continue to develop new technologies, products and services and/or upgrade its existing technologies, products and services; quarterly variations in Company’s operating results caused by factors beyond its control; and global macroeconomic conditions and their potential impact in the markets in which the Company has business. All information provided in this press release is as of the date hereof and is based on assumptions that the Company believes to be reasonable as of this date, and it undertakes no obligation to update any forward-looking statements to reflect subsequent occurring events or circumstances, or changes in its expectations, except as may be required by law. Although the Company believes that the expectations expressed in these forward-looking statements are reasonable, it cannot assure you that its expectations will turn out to be correct, and investors are cautioned that actual results may differ materially from the anticipated results. Further information regarding risks and uncertainties faced by Opera is included in the Company’s filings with the SEC, including its annual reports on Form 20-F.</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Opera</w:t>
      </w:r>
    </w:p>
    <w:p>
      <w:pPr>
        <w:spacing w:after="0" w:line="18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Opera is a user-centric and innovative software company focused on enabling the best possible internet browsing experience across all devices. Hundreds of millions use the Opera web browsers for their unique and secure features on their mobile phones and desktop computers. Founded in 1995, and headquartered in Oslo, Norway, Opera is a public company listed on the Nasdaq stock exchange under the ticker symbol “OPRA”. Download the Opera web browser and access other Opera products from opera.com. Learn more about Opera at investor.opera.com.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r>
        <w:rPr>
          <w:rFonts w:ascii="Times New Roman" w:cs="Times New Roman" w:eastAsia="Times New Roman" w:hAnsi="Times New Roman"/>
          <w:sz w:val="18"/>
          <w:szCs w:val="18"/>
          <w:color w:val="auto"/>
        </w:rPr>
        <w:t>: Matthew Wolfson, investor-relations@opera.com</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r>
        <w:rPr>
          <w:rFonts w:ascii="Times New Roman" w:cs="Times New Roman" w:eastAsia="Times New Roman" w:hAnsi="Times New Roman"/>
          <w:sz w:val="18"/>
          <w:szCs w:val="18"/>
          <w:color w:val="auto"/>
        </w:rPr>
        <w:t>: press-team@opera.com</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Opera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 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00" w:type="dxa"/>
            <w:vAlign w:val="bottom"/>
            <w:gridSpan w:val="7"/>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02"/>
        </w:trPr>
        <w:tc>
          <w:tcPr>
            <w:tcW w:w="7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2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020" w:type="dxa"/>
            <w:vAlign w:val="bottom"/>
            <w:gridSpan w:val="2"/>
            <w:shd w:val="clear" w:color="auto" w:fill="CFF0FC"/>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101,871</w:t>
            </w:r>
          </w:p>
        </w:tc>
        <w:tc>
          <w:tcPr>
            <w:tcW w:w="16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142,717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income</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Technology and platform fees</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(3,763)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(2,237)</w:t>
            </w: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Content cost</w:t>
            </w: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(970)</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(922)</w:t>
            </w:r>
          </w:p>
        </w:tc>
        <w:tc>
          <w:tcPr>
            <w:tcW w:w="0" w:type="dxa"/>
            <w:vAlign w:val="bottom"/>
          </w:tcPr>
          <w:p>
            <w:pPr>
              <w:spacing w:after="0"/>
              <w:rPr>
                <w:sz w:val="1"/>
                <w:szCs w:val="1"/>
                <w:color w:val="auto"/>
              </w:rPr>
            </w:pPr>
          </w:p>
        </w:tc>
      </w:tr>
      <w:tr>
        <w:trPr>
          <w:trHeight w:val="216"/>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inventory sold</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(19,285)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(47,534)</w:t>
            </w: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Personnel expenses excluding share-based compensation</w:t>
            </w: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(16,314)</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(17,568)</w:t>
            </w:r>
          </w:p>
        </w:tc>
        <w:tc>
          <w:tcPr>
            <w:tcW w:w="0" w:type="dxa"/>
            <w:vAlign w:val="bottom"/>
          </w:tcPr>
          <w:p>
            <w:pPr>
              <w:spacing w:after="0"/>
              <w:rPr>
                <w:sz w:val="1"/>
                <w:szCs w:val="1"/>
                <w:color w:val="auto"/>
              </w:rPr>
            </w:pPr>
          </w:p>
        </w:tc>
      </w:tr>
      <w:tr>
        <w:trPr>
          <w:trHeight w:val="216"/>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(2,610)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(6,000)</w:t>
            </w: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Marketing and distribution expenses</w:t>
            </w: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(29,466)</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(34,204)</w:t>
            </w:r>
          </w:p>
        </w:tc>
        <w:tc>
          <w:tcPr>
            <w:tcW w:w="0" w:type="dxa"/>
            <w:vAlign w:val="bottom"/>
          </w:tcPr>
          <w:p>
            <w:pPr>
              <w:spacing w:after="0"/>
              <w:rPr>
                <w:sz w:val="1"/>
                <w:szCs w:val="1"/>
                <w:color w:val="auto"/>
              </w:rPr>
            </w:pPr>
          </w:p>
        </w:tc>
      </w:tr>
      <w:tr>
        <w:trPr>
          <w:trHeight w:val="216"/>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Credit loss expense</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(3,072)</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(4,434)</w:t>
            </w:r>
          </w:p>
        </w:tc>
        <w:tc>
          <w:tcPr>
            <w:tcW w:w="0" w:type="dxa"/>
            <w:vAlign w:val="bottom"/>
          </w:tcPr>
          <w:p>
            <w:pPr>
              <w:spacing w:after="0"/>
              <w:rPr>
                <w:sz w:val="1"/>
                <w:szCs w:val="1"/>
                <w:color w:val="auto"/>
              </w:rPr>
            </w:pPr>
          </w:p>
        </w:tc>
      </w:tr>
      <w:tr>
        <w:trPr>
          <w:trHeight w:val="216"/>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Impairment of non-financial assets</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(733)</w:t>
            </w: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operating expenses</w:t>
            </w: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(7,224)</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(7,833)</w:t>
            </w:r>
          </w:p>
        </w:tc>
        <w:tc>
          <w:tcPr>
            <w:tcW w:w="0" w:type="dxa"/>
            <w:vAlign w:val="bottom"/>
          </w:tcPr>
          <w:p>
            <w:pPr>
              <w:spacing w:after="0"/>
              <w:rPr>
                <w:sz w:val="1"/>
                <w:szCs w:val="1"/>
                <w:color w:val="auto"/>
              </w:rPr>
            </w:pPr>
          </w:p>
        </w:tc>
      </w:tr>
      <w:tr>
        <w:trPr>
          <w:trHeight w:val="20"/>
        </w:trPr>
        <w:tc>
          <w:tcPr>
            <w:tcW w:w="76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(82,640)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(121,626)</w:t>
            </w:r>
          </w:p>
        </w:tc>
        <w:tc>
          <w:tcPr>
            <w:tcW w:w="0" w:type="dxa"/>
            <w:vAlign w:val="bottom"/>
          </w:tcPr>
          <w:p>
            <w:pPr>
              <w:spacing w:after="0"/>
              <w:rPr>
                <w:sz w:val="1"/>
                <w:szCs w:val="1"/>
                <w:color w:val="auto"/>
              </w:rPr>
            </w:pPr>
          </w:p>
        </w:tc>
      </w:tr>
      <w:tr>
        <w:trPr>
          <w:trHeight w:val="209"/>
        </w:trPr>
        <w:tc>
          <w:tcPr>
            <w:tcW w:w="7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19,575</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21,075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Share of net loss of equity-accounted investees</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finance income (expense):</w:t>
            </w: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income</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Finance expense</w:t>
            </w: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16"/>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foreign exchange gain (loss)</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(835)</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b w:val="1"/>
                <w:bCs w:val="1"/>
                <w:color w:val="auto"/>
              </w:rPr>
              <w:t>Net finance income (expense)</w:t>
            </w: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09"/>
        </w:trPr>
        <w:tc>
          <w:tcPr>
            <w:tcW w:w="76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80" w:type="dxa"/>
            <w:vAlign w:val="bottom"/>
            <w:tcBorders>
              <w:top w:val="single" w:sz="8" w:color="CFF0FC"/>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19,468</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20,791</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(4,629)</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(2,508)</w:t>
            </w:r>
          </w:p>
        </w:tc>
        <w:tc>
          <w:tcPr>
            <w:tcW w:w="0" w:type="dxa"/>
            <w:vAlign w:val="bottom"/>
          </w:tcPr>
          <w:p>
            <w:pPr>
              <w:spacing w:after="0"/>
              <w:rPr>
                <w:sz w:val="1"/>
                <w:szCs w:val="1"/>
                <w:color w:val="auto"/>
              </w:rPr>
            </w:pPr>
          </w:p>
        </w:tc>
      </w:tr>
      <w:tr>
        <w:trPr>
          <w:trHeight w:val="20"/>
        </w:trPr>
        <w:tc>
          <w:tcPr>
            <w:tcW w:w="76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Opera shareholders</w:t>
            </w:r>
          </w:p>
        </w:tc>
        <w:tc>
          <w:tcPr>
            <w:tcW w:w="80" w:type="dxa"/>
            <w:vAlign w:val="bottom"/>
          </w:tcPr>
          <w:p>
            <w:pPr>
              <w:spacing w:after="0"/>
              <w:rPr>
                <w:sz w:val="18"/>
                <w:szCs w:val="18"/>
                <w:color w:val="auto"/>
              </w:rPr>
            </w:pPr>
          </w:p>
        </w:tc>
        <w:tc>
          <w:tcPr>
            <w:tcW w:w="94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14,839</w:t>
            </w:r>
          </w:p>
        </w:tc>
        <w:tc>
          <w:tcPr>
            <w:tcW w:w="16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020" w:type="dxa"/>
            <w:vAlign w:val="bottom"/>
            <w:gridSpan w:val="2"/>
            <w:shd w:val="clear" w:color="auto" w:fill="CFF0FC"/>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6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020" w:type="dxa"/>
            <w:vAlign w:val="bottom"/>
            <w:gridSpan w:val="2"/>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6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Weighted-average number of shares outstanding:</w:t>
            </w: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88,453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89,243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7660" w:type="dxa"/>
            <w:vAlign w:val="bottom"/>
          </w:tcPr>
          <w:p>
            <w:pPr>
              <w:jc w:val="center"/>
              <w:ind w:left="3510"/>
              <w:spacing w:after="0"/>
              <w:rPr>
                <w:sz w:val="20"/>
                <w:szCs w:val="20"/>
                <w:color w:val="auto"/>
              </w:rPr>
            </w:pPr>
            <w:r>
              <w:rPr>
                <w:rFonts w:ascii="Times New Roman" w:cs="Times New Roman" w:eastAsia="Times New Roman" w:hAnsi="Times New Roman"/>
                <w:sz w:val="18"/>
                <w:szCs w:val="18"/>
                <w:b w:val="1"/>
                <w:bCs w:val="1"/>
                <w:color w:val="auto"/>
                <w:w w:val="99"/>
              </w:rPr>
              <w:t>Opera Limited</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7660" w:type="dxa"/>
            <w:vAlign w:val="bottom"/>
          </w:tcPr>
          <w:p>
            <w:pPr>
              <w:jc w:val="center"/>
              <w:ind w:left="3490"/>
              <w:spacing w:after="0"/>
              <w:rPr>
                <w:sz w:val="20"/>
                <w:szCs w:val="20"/>
                <w:color w:val="auto"/>
              </w:rPr>
            </w:pPr>
            <w:r>
              <w:rPr>
                <w:rFonts w:ascii="Times New Roman" w:cs="Times New Roman" w:eastAsia="Times New Roman" w:hAnsi="Times New Roman"/>
                <w:sz w:val="18"/>
                <w:szCs w:val="18"/>
                <w:b w:val="1"/>
                <w:bCs w:val="1"/>
                <w:color w:val="auto"/>
                <w:w w:val="99"/>
              </w:rPr>
              <w:t>Consolidated Statement of Comprehensive Income</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660" w:type="dxa"/>
            <w:vAlign w:val="bottom"/>
          </w:tcPr>
          <w:p>
            <w:pPr>
              <w:jc w:val="center"/>
              <w:ind w:left="3510"/>
              <w:spacing w:after="0"/>
              <w:rPr>
                <w:sz w:val="20"/>
                <w:szCs w:val="20"/>
                <w:color w:val="auto"/>
              </w:rPr>
            </w:pPr>
            <w:r>
              <w:rPr>
                <w:rFonts w:ascii="Times New Roman" w:cs="Times New Roman" w:eastAsia="Times New Roman" w:hAnsi="Times New Roman"/>
                <w:sz w:val="18"/>
                <w:szCs w:val="18"/>
                <w:i w:val="1"/>
                <w:iCs w:val="1"/>
                <w:color w:val="auto"/>
              </w:rPr>
              <w:t>(In thousands, unaudited)</w:t>
            </w: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3"/>
        </w:trPr>
        <w:tc>
          <w:tcPr>
            <w:tcW w:w="7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500" w:type="dxa"/>
            <w:vAlign w:val="bottom"/>
            <w:gridSpan w:val="7"/>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02"/>
        </w:trPr>
        <w:tc>
          <w:tcPr>
            <w:tcW w:w="7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2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20" w:type="dxa"/>
            <w:vAlign w:val="bottom"/>
            <w:gridSpan w:val="2"/>
            <w:shd w:val="clear" w:color="auto" w:fill="CFF0FC"/>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14,839</w:t>
            </w:r>
          </w:p>
        </w:tc>
        <w:tc>
          <w:tcPr>
            <w:tcW w:w="16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Items that may be reclassified to the Statement of Operations:</w:t>
            </w: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Exchange differences on translation of foreign operations</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attributable to Opera shareholders</w:t>
            </w:r>
          </w:p>
        </w:tc>
        <w:tc>
          <w:tcPr>
            <w:tcW w:w="80" w:type="dxa"/>
            <w:vAlign w:val="bottom"/>
          </w:tcPr>
          <w:p>
            <w:pPr>
              <w:spacing w:after="0"/>
              <w:rPr>
                <w:sz w:val="18"/>
                <w:szCs w:val="18"/>
                <w:color w:val="auto"/>
              </w:rPr>
            </w:pPr>
          </w:p>
        </w:tc>
        <w:tc>
          <w:tcPr>
            <w:tcW w:w="94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14,593</w:t>
            </w:r>
          </w:p>
        </w:tc>
        <w:tc>
          <w:tcPr>
            <w:tcW w:w="16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60" w:type="dxa"/>
            <w:vAlign w:val="bottom"/>
            <w:vMerge w:val="restart"/>
          </w:tcPr>
          <w:p>
            <w:pPr>
              <w:jc w:val="center"/>
              <w:ind w:left="3490"/>
              <w:spacing w:after="0"/>
              <w:rPr>
                <w:sz w:val="20"/>
                <w:szCs w:val="20"/>
                <w:color w:val="auto"/>
              </w:rPr>
            </w:pPr>
            <w:r>
              <w:rPr>
                <w:rFonts w:ascii="Times New Roman" w:cs="Times New Roman" w:eastAsia="Times New Roman" w:hAnsi="Times New Roman"/>
                <w:sz w:val="18"/>
                <w:szCs w:val="18"/>
                <w:color w:val="auto"/>
                <w:w w:val="88"/>
              </w:rPr>
              <w:t>5</w:t>
            </w: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76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7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-5108575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-5108575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-4817110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-4817110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-3977005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-3977005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-3685540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-3685540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-899795</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-899795</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Opera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Financial Position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80" w:type="dxa"/>
            <w:vAlign w:val="bottom"/>
          </w:tcPr>
          <w:p>
            <w:pPr>
              <w:spacing w:after="0"/>
              <w:rPr>
                <w:sz w:val="17"/>
                <w:szCs w:val="17"/>
                <w:color w:val="auto"/>
              </w:rPr>
            </w:pPr>
          </w:p>
        </w:tc>
        <w:tc>
          <w:tcPr>
            <w:tcW w:w="160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As of March 31,</w:t>
            </w:r>
          </w:p>
        </w:tc>
        <w:tc>
          <w:tcPr>
            <w:tcW w:w="0" w:type="dxa"/>
            <w:vAlign w:val="bottom"/>
          </w:tcPr>
          <w:p>
            <w:pPr>
              <w:spacing w:after="0"/>
              <w:rPr>
                <w:sz w:val="1"/>
                <w:szCs w:val="1"/>
                <w:color w:val="auto"/>
              </w:rPr>
            </w:pPr>
          </w:p>
        </w:tc>
      </w:tr>
      <w:tr>
        <w:trPr>
          <w:trHeight w:val="215"/>
        </w:trPr>
        <w:tc>
          <w:tcPr>
            <w:tcW w:w="47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w:t>
            </w:r>
          </w:p>
        </w:tc>
        <w:tc>
          <w:tcPr>
            <w:tcW w:w="2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34,058</w:t>
            </w:r>
          </w:p>
        </w:tc>
        <w:tc>
          <w:tcPr>
            <w:tcW w:w="22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2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429,742</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429,977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2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97,509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Investment in OPay</w:t>
            </w:r>
          </w:p>
        </w:tc>
        <w:tc>
          <w:tcPr>
            <w:tcW w:w="2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258,300</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258,300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Equity-accounted investments</w:t>
            </w:r>
          </w:p>
        </w:tc>
        <w:tc>
          <w:tcPr>
            <w:tcW w:w="2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non-current investments and financial assets</w:t>
            </w:r>
          </w:p>
        </w:tc>
        <w:tc>
          <w:tcPr>
            <w:tcW w:w="2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tax assets</w:t>
            </w:r>
          </w:p>
        </w:tc>
        <w:tc>
          <w:tcPr>
            <w:tcW w:w="26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6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823,681</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824,521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 receivables</w:t>
            </w:r>
          </w:p>
        </w:tc>
        <w:tc>
          <w:tcPr>
            <w:tcW w:w="2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92,823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current receivables</w:t>
            </w:r>
          </w:p>
        </w:tc>
        <w:tc>
          <w:tcPr>
            <w:tcW w:w="2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4,560</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126,797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26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7,724</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6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231,904</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218,578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1,055,585</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1,043,099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760" w:type="dxa"/>
            <w:vAlign w:val="bottom"/>
            <w:tcBorders>
              <w:top w:val="single" w:sz="8" w:color="CFF0FC"/>
            </w:tcBorders>
          </w:tcPr>
          <w:p>
            <w:pPr>
              <w:spacing w:after="0"/>
              <w:rPr>
                <w:sz w:val="17"/>
                <w:szCs w:val="17"/>
                <w:color w:val="auto"/>
              </w:rPr>
            </w:pPr>
          </w:p>
        </w:tc>
        <w:tc>
          <w:tcPr>
            <w:tcW w:w="268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 capital</w:t>
            </w:r>
          </w:p>
        </w:tc>
        <w:tc>
          <w:tcPr>
            <w:tcW w:w="2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647,212</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611,818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Treasury shares</w:t>
            </w:r>
          </w:p>
        </w:tc>
        <w:tc>
          <w:tcPr>
            <w:tcW w:w="2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(238,815)</w:t>
            </w:r>
          </w:p>
        </w:tc>
        <w:tc>
          <w:tcPr>
            <w:tcW w:w="18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(238,815)</w:t>
            </w: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2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536,623</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560,340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reserve</w:t>
            </w:r>
          </w:p>
        </w:tc>
        <w:tc>
          <w:tcPr>
            <w:tcW w:w="2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(4,938)</w:t>
            </w:r>
          </w:p>
        </w:tc>
        <w:tc>
          <w:tcPr>
            <w:tcW w:w="18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(3,786)</w:t>
            </w:r>
          </w:p>
        </w:tc>
        <w:tc>
          <w:tcPr>
            <w:tcW w:w="0" w:type="dxa"/>
            <w:vAlign w:val="bottom"/>
          </w:tcPr>
          <w:p>
            <w:pPr>
              <w:spacing w:after="0"/>
              <w:rPr>
                <w:sz w:val="1"/>
                <w:szCs w:val="1"/>
                <w:color w:val="auto"/>
              </w:rPr>
            </w:pPr>
          </w:p>
        </w:tc>
      </w:tr>
      <w:tr>
        <w:trPr>
          <w:trHeight w:val="209"/>
        </w:trPr>
        <w:tc>
          <w:tcPr>
            <w:tcW w:w="476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b w:val="1"/>
                <w:bCs w:val="1"/>
                <w:color w:val="auto"/>
              </w:rPr>
              <w:t>Total equity attributable to Opera shareholders</w:t>
            </w:r>
          </w:p>
        </w:tc>
        <w:tc>
          <w:tcPr>
            <w:tcW w:w="26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940,100</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929,576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Non-current lease liabilities</w:t>
            </w:r>
          </w:p>
        </w:tc>
        <w:tc>
          <w:tcPr>
            <w:tcW w:w="2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5,631</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6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26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14,391</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Trade and other payables</w:t>
            </w:r>
          </w:p>
        </w:tc>
        <w:tc>
          <w:tcPr>
            <w:tcW w:w="2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75,285</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2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Income tax payable</w:t>
            </w:r>
          </w:p>
        </w:tc>
        <w:tc>
          <w:tcPr>
            <w:tcW w:w="2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3,190</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2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13,222</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16,359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6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101,093</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tcBorders>
              <w:bottom w:val="single" w:sz="8" w:color="CFF0FC"/>
            </w:tcBorders>
            <w:shd w:val="clear" w:color="auto" w:fill="CFF0FC"/>
          </w:tcPr>
          <w:p>
            <w:pPr>
              <w:ind w:left="40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6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115,484</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113,524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2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1,055,585</w:t>
            </w:r>
          </w:p>
        </w:tc>
        <w:tc>
          <w:tcPr>
            <w:tcW w:w="22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1,043,099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680" w:type="dxa"/>
            <w:vAlign w:val="bottom"/>
            <w:vMerge w:val="restart"/>
          </w:tcPr>
          <w:p>
            <w:pPr>
              <w:jc w:val="right"/>
              <w:ind w:right="169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476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476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-4568190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-4568190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-4011295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-4011295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-3719830</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-3702685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-3719830</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-3702685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-2588260</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-2588260</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-2030730</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-2030730</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-1190625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-1190625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-899160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-899160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Opera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number of shares, 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2024:</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9"/>
              </w:rPr>
              <w:t>Foreign</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Total equity</w:t>
            </w:r>
          </w:p>
        </w:tc>
      </w:tr>
      <w:tr>
        <w:trPr>
          <w:trHeight w:val="162"/>
        </w:trPr>
        <w:tc>
          <w:tcPr>
            <w:tcW w:w="3260" w:type="dxa"/>
            <w:vAlign w:val="bottom"/>
          </w:tcPr>
          <w:p>
            <w:pPr>
              <w:spacing w:after="0"/>
              <w:rPr>
                <w:sz w:val="14"/>
                <w:szCs w:val="14"/>
                <w:color w:val="auto"/>
              </w:rPr>
            </w:pPr>
          </w:p>
        </w:tc>
        <w:tc>
          <w:tcPr>
            <w:tcW w:w="102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Number of</w:t>
            </w: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3"/>
          </w:tcPr>
          <w:p>
            <w:pPr>
              <w:jc w:val="center"/>
              <w:ind w:right="200"/>
              <w:spacing w:after="0" w:line="162" w:lineRule="exact"/>
              <w:rPr>
                <w:sz w:val="20"/>
                <w:szCs w:val="20"/>
                <w:color w:val="auto"/>
              </w:rPr>
            </w:pPr>
            <w:r>
              <w:rPr>
                <w:rFonts w:ascii="Times New Roman" w:cs="Times New Roman" w:eastAsia="Times New Roman" w:hAnsi="Times New Roman"/>
                <w:sz w:val="15"/>
                <w:szCs w:val="15"/>
                <w:b w:val="1"/>
                <w:bCs w:val="1"/>
                <w:color w:val="auto"/>
              </w:rPr>
              <w:t>Additional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5"/>
                <w:szCs w:val="15"/>
                <w:b w:val="1"/>
                <w:bCs w:val="1"/>
                <w:color w:val="auto"/>
              </w:rPr>
              <w:t>currency</w:t>
            </w:r>
          </w:p>
        </w:tc>
        <w:tc>
          <w:tcPr>
            <w:tcW w:w="80" w:type="dxa"/>
            <w:vAlign w:val="bottom"/>
          </w:tcPr>
          <w:p>
            <w:pPr>
              <w:spacing w:after="0"/>
              <w:rPr>
                <w:sz w:val="14"/>
                <w:szCs w:val="14"/>
                <w:color w:val="auto"/>
              </w:rPr>
            </w:pPr>
          </w:p>
        </w:tc>
        <w:tc>
          <w:tcPr>
            <w:tcW w:w="1120" w:type="dxa"/>
            <w:vAlign w:val="bottom"/>
            <w:gridSpan w:val="3"/>
          </w:tcPr>
          <w:p>
            <w:pPr>
              <w:jc w:val="center"/>
              <w:ind w:right="160"/>
              <w:spacing w:after="0" w:line="162" w:lineRule="exact"/>
              <w:rPr>
                <w:sz w:val="20"/>
                <w:szCs w:val="20"/>
                <w:color w:val="auto"/>
              </w:rPr>
            </w:pPr>
            <w:r>
              <w:rPr>
                <w:rFonts w:ascii="Times New Roman" w:cs="Times New Roman" w:eastAsia="Times New Roman" w:hAnsi="Times New Roman"/>
                <w:sz w:val="15"/>
                <w:szCs w:val="15"/>
                <w:b w:val="1"/>
                <w:bCs w:val="1"/>
                <w:color w:val="auto"/>
              </w:rPr>
              <w:t>attributable to</w:t>
            </w:r>
          </w:p>
        </w:tc>
      </w:tr>
      <w:tr>
        <w:trPr>
          <w:trHeight w:val="162"/>
        </w:trPr>
        <w:tc>
          <w:tcPr>
            <w:tcW w:w="3260" w:type="dxa"/>
            <w:vAlign w:val="bottom"/>
          </w:tcPr>
          <w:p>
            <w:pPr>
              <w:spacing w:after="0"/>
              <w:rPr>
                <w:sz w:val="14"/>
                <w:szCs w:val="14"/>
                <w:color w:val="auto"/>
              </w:rPr>
            </w:pPr>
          </w:p>
        </w:tc>
        <w:tc>
          <w:tcPr>
            <w:tcW w:w="102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shares</w:t>
            </w: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5"/>
                <w:szCs w:val="15"/>
                <w:b w:val="1"/>
                <w:bCs w:val="1"/>
                <w:color w:val="auto"/>
              </w:rPr>
              <w:t>paid-in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300"/>
              <w:spacing w:after="0" w:line="162" w:lineRule="exact"/>
              <w:rPr>
                <w:sz w:val="20"/>
                <w:szCs w:val="20"/>
                <w:color w:val="auto"/>
              </w:rPr>
            </w:pPr>
            <w:r>
              <w:rPr>
                <w:rFonts w:ascii="Times New Roman" w:cs="Times New Roman" w:eastAsia="Times New Roman" w:hAnsi="Times New Roman"/>
                <w:sz w:val="15"/>
                <w:szCs w:val="15"/>
                <w:b w:val="1"/>
                <w:bCs w:val="1"/>
                <w:color w:val="auto"/>
              </w:rPr>
              <w:t>Treasury</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100"/>
              <w:spacing w:after="0" w:line="162" w:lineRule="exact"/>
              <w:rPr>
                <w:sz w:val="20"/>
                <w:szCs w:val="20"/>
                <w:color w:val="auto"/>
              </w:rPr>
            </w:pPr>
            <w:r>
              <w:rPr>
                <w:rFonts w:ascii="Times New Roman" w:cs="Times New Roman" w:eastAsia="Times New Roman" w:hAnsi="Times New Roman"/>
                <w:sz w:val="15"/>
                <w:szCs w:val="15"/>
                <w:b w:val="1"/>
                <w:bCs w:val="1"/>
                <w:color w:val="auto"/>
              </w:rPr>
              <w:t>Retained</w:t>
            </w:r>
          </w:p>
        </w:tc>
        <w:tc>
          <w:tcPr>
            <w:tcW w:w="220" w:type="dxa"/>
            <w:vAlign w:val="bottom"/>
          </w:tcPr>
          <w:p>
            <w:pPr>
              <w:spacing w:after="0"/>
              <w:rPr>
                <w:sz w:val="14"/>
                <w:szCs w:val="14"/>
                <w:color w:val="auto"/>
              </w:rPr>
            </w:pPr>
          </w:p>
        </w:tc>
        <w:tc>
          <w:tcPr>
            <w:tcW w:w="1020" w:type="dxa"/>
            <w:vAlign w:val="bottom"/>
            <w:gridSpan w:val="3"/>
          </w:tcPr>
          <w:p>
            <w:pPr>
              <w:jc w:val="center"/>
              <w:ind w:right="200"/>
              <w:spacing w:after="0" w:line="162" w:lineRule="exact"/>
              <w:rPr>
                <w:sz w:val="20"/>
                <w:szCs w:val="20"/>
                <w:color w:val="auto"/>
              </w:rPr>
            </w:pPr>
            <w:r>
              <w:rPr>
                <w:rFonts w:ascii="Times New Roman" w:cs="Times New Roman" w:eastAsia="Times New Roman" w:hAnsi="Times New Roman"/>
                <w:sz w:val="15"/>
                <w:szCs w:val="15"/>
                <w:b w:val="1"/>
                <w:bCs w:val="1"/>
                <w:color w:val="auto"/>
                <w:w w:val="99"/>
              </w:rPr>
              <w:t>translation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5"/>
                <w:szCs w:val="15"/>
                <w:b w:val="1"/>
                <w:bCs w:val="1"/>
                <w:color w:val="auto"/>
                <w:w w:val="97"/>
              </w:rPr>
              <w:t>Opera</w:t>
            </w:r>
          </w:p>
        </w:tc>
      </w:tr>
      <w:tr>
        <w:trPr>
          <w:trHeight w:val="183"/>
        </w:trPr>
        <w:tc>
          <w:tcPr>
            <w:tcW w:w="326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outstanding</w:t>
            </w:r>
          </w:p>
        </w:tc>
        <w:tc>
          <w:tcPr>
            <w:tcW w:w="260" w:type="dxa"/>
            <w:vAlign w:val="bottom"/>
          </w:tcPr>
          <w:p>
            <w:pPr>
              <w:spacing w:after="0"/>
              <w:rPr>
                <w:sz w:val="15"/>
                <w:szCs w:val="15"/>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Share capital</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w w:val="98"/>
              </w:rPr>
              <w:t>reserve</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shareholders</w:t>
            </w:r>
          </w:p>
        </w:tc>
        <w:tc>
          <w:tcPr>
            <w:tcW w:w="100" w:type="dxa"/>
            <w:vAlign w:val="bottom"/>
          </w:tcPr>
          <w:p>
            <w:pPr>
              <w:spacing w:after="0"/>
              <w:rPr>
                <w:sz w:val="15"/>
                <w:szCs w:val="15"/>
                <w:color w:val="auto"/>
              </w:rPr>
            </w:pPr>
          </w:p>
        </w:tc>
      </w:tr>
      <w:tr>
        <w:trPr>
          <w:trHeight w:val="196"/>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 of January 1, 2024</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87,518,284</w:t>
            </w:r>
          </w:p>
        </w:tc>
        <w:tc>
          <w:tcPr>
            <w:tcW w:w="660" w:type="dxa"/>
            <w:vAlign w:val="bottom"/>
            <w:gridSpan w:val="2"/>
            <w:shd w:val="clear" w:color="auto" w:fill="CFF0FC"/>
          </w:tcPr>
          <w:p>
            <w:pPr>
              <w:jc w:val="right"/>
              <w:ind w:right="244"/>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717,610</w:t>
            </w:r>
          </w:p>
        </w:tc>
        <w:tc>
          <w:tcPr>
            <w:tcW w:w="140" w:type="dxa"/>
            <w:vAlign w:val="bottom"/>
            <w:shd w:val="clear" w:color="auto" w:fill="CFF0FC"/>
          </w:tcPr>
          <w:p>
            <w:pPr>
              <w:spacing w:after="0"/>
              <w:rPr>
                <w:sz w:val="17"/>
                <w:szCs w:val="17"/>
                <w:color w:val="auto"/>
              </w:rPr>
            </w:pP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(238,815)</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445,164</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(4,127)</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919,850</w:t>
            </w:r>
          </w:p>
        </w:tc>
        <w:tc>
          <w:tcPr>
            <w:tcW w:w="100" w:type="dxa"/>
            <w:vAlign w:val="bottom"/>
            <w:shd w:val="clear" w:color="auto" w:fill="CFF0FC"/>
          </w:tcPr>
          <w:p>
            <w:pPr>
              <w:spacing w:after="0"/>
              <w:rPr>
                <w:sz w:val="17"/>
                <w:szCs w:val="17"/>
                <w:color w:val="auto"/>
              </w:rPr>
            </w:pPr>
          </w:p>
        </w:tc>
      </w:tr>
      <w:tr>
        <w:trPr>
          <w:trHeight w:val="203"/>
        </w:trPr>
        <w:tc>
          <w:tcPr>
            <w:tcW w:w="32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Net income</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14,839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14,839</w:t>
            </w:r>
          </w:p>
        </w:tc>
        <w:tc>
          <w:tcPr>
            <w:tcW w:w="100" w:type="dxa"/>
            <w:vAlign w:val="bottom"/>
          </w:tcPr>
          <w:p>
            <w:pPr>
              <w:spacing w:after="0"/>
              <w:rPr>
                <w:sz w:val="17"/>
                <w:szCs w:val="17"/>
                <w:color w:val="auto"/>
              </w:rPr>
            </w:pPr>
          </w:p>
        </w:tc>
      </w:tr>
      <w:tr>
        <w:trPr>
          <w:trHeight w:val="203"/>
        </w:trPr>
        <w:tc>
          <w:tcPr>
            <w:tcW w:w="3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(246)</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(246)</w:t>
            </w:r>
          </w:p>
        </w:tc>
      </w:tr>
      <w:tr>
        <w:trPr>
          <w:trHeight w:val="203"/>
        </w:trPr>
        <w:tc>
          <w:tcPr>
            <w:tcW w:w="32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Cost of equity awards, net of tax</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2,722</w:t>
            </w:r>
          </w:p>
        </w:tc>
        <w:tc>
          <w:tcPr>
            <w:tcW w:w="100" w:type="dxa"/>
            <w:vAlign w:val="bottom"/>
          </w:tcPr>
          <w:p>
            <w:pPr>
              <w:spacing w:after="0"/>
              <w:rPr>
                <w:sz w:val="17"/>
                <w:szCs w:val="17"/>
                <w:color w:val="auto"/>
              </w:rPr>
            </w:pPr>
          </w:p>
        </w:tc>
      </w:tr>
      <w:tr>
        <w:trPr>
          <w:trHeight w:val="189"/>
        </w:trPr>
        <w:tc>
          <w:tcPr>
            <w:tcW w:w="3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Issuance of shares upon exercise of equity</w:t>
            </w:r>
          </w:p>
        </w:tc>
        <w:tc>
          <w:tcPr>
            <w:tcW w:w="10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3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awards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935,664</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2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Dividends</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(35,007)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(35,007)</w:t>
            </w:r>
          </w:p>
        </w:tc>
      </w:tr>
      <w:tr>
        <w:trPr>
          <w:trHeight w:val="20"/>
        </w:trPr>
        <w:tc>
          <w:tcPr>
            <w:tcW w:w="32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 of March 31, 2024</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88,453,948</w:t>
            </w:r>
          </w:p>
        </w:tc>
        <w:tc>
          <w:tcPr>
            <w:tcW w:w="660" w:type="dxa"/>
            <w:vAlign w:val="bottom"/>
            <w:gridSpan w:val="2"/>
            <w:shd w:val="clear" w:color="auto" w:fill="CFF0FC"/>
          </w:tcPr>
          <w:p>
            <w:pPr>
              <w:jc w:val="right"/>
              <w:ind w:right="244"/>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682,603</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(238,815)</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462,724</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(4,373)</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902,157</w:t>
            </w:r>
          </w:p>
        </w:tc>
        <w:tc>
          <w:tcPr>
            <w:tcW w:w="100" w:type="dxa"/>
            <w:vAlign w:val="bottom"/>
            <w:shd w:val="clear" w:color="auto" w:fill="CFF0FC"/>
          </w:tcPr>
          <w:p>
            <w:pPr>
              <w:spacing w:after="0"/>
              <w:rPr>
                <w:sz w:val="18"/>
                <w:szCs w:val="18"/>
                <w:color w:val="auto"/>
              </w:rPr>
            </w:pPr>
          </w:p>
        </w:tc>
      </w:tr>
      <w:tr>
        <w:trPr>
          <w:trHeight w:val="20"/>
        </w:trPr>
        <w:tc>
          <w:tcPr>
            <w:tcW w:w="326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-25400</wp:posOffset>
            </wp:positionV>
            <wp:extent cx="768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-8255</wp:posOffset>
            </wp:positionV>
            <wp:extent cx="768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-25400</wp:posOffset>
            </wp:positionV>
            <wp:extent cx="77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-8255</wp:posOffset>
            </wp:positionV>
            <wp:extent cx="774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-25400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-8255</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-25400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-8255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-25400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-8255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-25400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-8255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2025:</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380"/>
              <w:spacing w:after="0"/>
              <w:rPr>
                <w:sz w:val="20"/>
                <w:szCs w:val="20"/>
                <w:color w:val="auto"/>
              </w:rPr>
            </w:pPr>
            <w:r>
              <w:rPr>
                <w:rFonts w:ascii="Times New Roman" w:cs="Times New Roman" w:eastAsia="Times New Roman" w:hAnsi="Times New Roman"/>
                <w:sz w:val="15"/>
                <w:szCs w:val="15"/>
                <w:b w:val="1"/>
                <w:bCs w:val="1"/>
                <w:color w:val="auto"/>
                <w:w w:val="99"/>
              </w:rPr>
              <w:t>Foreign</w:t>
            </w:r>
          </w:p>
        </w:tc>
        <w:tc>
          <w:tcPr>
            <w:tcW w:w="1100" w:type="dxa"/>
            <w:vAlign w:val="bottom"/>
            <w:gridSpan w:val="3"/>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Total equity</w:t>
            </w:r>
          </w:p>
        </w:tc>
      </w:tr>
      <w:tr>
        <w:trPr>
          <w:trHeight w:val="162"/>
        </w:trPr>
        <w:tc>
          <w:tcPr>
            <w:tcW w:w="3280" w:type="dxa"/>
            <w:vAlign w:val="bottom"/>
          </w:tcPr>
          <w:p>
            <w:pPr>
              <w:spacing w:after="0"/>
              <w:rPr>
                <w:sz w:val="14"/>
                <w:szCs w:val="14"/>
                <w:color w:val="auto"/>
              </w:rPr>
            </w:pPr>
          </w:p>
        </w:tc>
        <w:tc>
          <w:tcPr>
            <w:tcW w:w="102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Number of</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3"/>
          </w:tcPr>
          <w:p>
            <w:pPr>
              <w:jc w:val="center"/>
              <w:ind w:right="260"/>
              <w:spacing w:after="0" w:line="162" w:lineRule="exact"/>
              <w:rPr>
                <w:sz w:val="20"/>
                <w:szCs w:val="20"/>
                <w:color w:val="auto"/>
              </w:rPr>
            </w:pPr>
            <w:r>
              <w:rPr>
                <w:rFonts w:ascii="Times New Roman" w:cs="Times New Roman" w:eastAsia="Times New Roman" w:hAnsi="Times New Roman"/>
                <w:sz w:val="15"/>
                <w:szCs w:val="15"/>
                <w:b w:val="1"/>
                <w:bCs w:val="1"/>
                <w:color w:val="auto"/>
              </w:rPr>
              <w:t>Additional</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380"/>
              <w:spacing w:after="0" w:line="162" w:lineRule="exact"/>
              <w:rPr>
                <w:sz w:val="20"/>
                <w:szCs w:val="20"/>
                <w:color w:val="auto"/>
              </w:rPr>
            </w:pPr>
            <w:r>
              <w:rPr>
                <w:rFonts w:ascii="Times New Roman" w:cs="Times New Roman" w:eastAsia="Times New Roman" w:hAnsi="Times New Roman"/>
                <w:sz w:val="15"/>
                <w:szCs w:val="15"/>
                <w:b w:val="1"/>
                <w:bCs w:val="1"/>
                <w:color w:val="auto"/>
              </w:rPr>
              <w:t>currency</w:t>
            </w:r>
          </w:p>
        </w:tc>
        <w:tc>
          <w:tcPr>
            <w:tcW w:w="1100" w:type="dxa"/>
            <w:vAlign w:val="bottom"/>
            <w:gridSpan w:val="3"/>
          </w:tcPr>
          <w:p>
            <w:pPr>
              <w:jc w:val="center"/>
              <w:ind w:right="160"/>
              <w:spacing w:after="0" w:line="162" w:lineRule="exact"/>
              <w:rPr>
                <w:sz w:val="20"/>
                <w:szCs w:val="20"/>
                <w:color w:val="auto"/>
              </w:rPr>
            </w:pPr>
            <w:r>
              <w:rPr>
                <w:rFonts w:ascii="Times New Roman" w:cs="Times New Roman" w:eastAsia="Times New Roman" w:hAnsi="Times New Roman"/>
                <w:sz w:val="15"/>
                <w:szCs w:val="15"/>
                <w:b w:val="1"/>
                <w:bCs w:val="1"/>
                <w:color w:val="auto"/>
              </w:rPr>
              <w:t>attributable to</w:t>
            </w:r>
          </w:p>
        </w:tc>
      </w:tr>
      <w:tr>
        <w:trPr>
          <w:trHeight w:val="162"/>
        </w:trPr>
        <w:tc>
          <w:tcPr>
            <w:tcW w:w="3280" w:type="dxa"/>
            <w:vAlign w:val="bottom"/>
          </w:tcPr>
          <w:p>
            <w:pPr>
              <w:spacing w:after="0"/>
              <w:rPr>
                <w:sz w:val="14"/>
                <w:szCs w:val="14"/>
                <w:color w:val="auto"/>
              </w:rPr>
            </w:pPr>
          </w:p>
        </w:tc>
        <w:tc>
          <w:tcPr>
            <w:tcW w:w="102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shares</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400"/>
              <w:spacing w:after="0" w:line="162" w:lineRule="exact"/>
              <w:rPr>
                <w:sz w:val="20"/>
                <w:szCs w:val="20"/>
                <w:color w:val="auto"/>
              </w:rPr>
            </w:pPr>
            <w:r>
              <w:rPr>
                <w:rFonts w:ascii="Times New Roman" w:cs="Times New Roman" w:eastAsia="Times New Roman" w:hAnsi="Times New Roman"/>
                <w:sz w:val="15"/>
                <w:szCs w:val="15"/>
                <w:b w:val="1"/>
                <w:bCs w:val="1"/>
                <w:color w:val="auto"/>
              </w:rPr>
              <w:t>paid-in</w:t>
            </w:r>
          </w:p>
        </w:tc>
        <w:tc>
          <w:tcPr>
            <w:tcW w:w="100" w:type="dxa"/>
            <w:vAlign w:val="bottom"/>
          </w:tcPr>
          <w:p>
            <w:pPr>
              <w:spacing w:after="0"/>
              <w:rPr>
                <w:sz w:val="14"/>
                <w:szCs w:val="14"/>
                <w:color w:val="auto"/>
              </w:rPr>
            </w:pPr>
          </w:p>
        </w:tc>
        <w:tc>
          <w:tcPr>
            <w:tcW w:w="1000" w:type="dxa"/>
            <w:vAlign w:val="bottom"/>
            <w:gridSpan w:val="2"/>
          </w:tcPr>
          <w:p>
            <w:pPr>
              <w:jc w:val="right"/>
              <w:ind w:right="380"/>
              <w:spacing w:after="0" w:line="162" w:lineRule="exact"/>
              <w:rPr>
                <w:sz w:val="20"/>
                <w:szCs w:val="20"/>
                <w:color w:val="auto"/>
              </w:rPr>
            </w:pPr>
            <w:r>
              <w:rPr>
                <w:rFonts w:ascii="Times New Roman" w:cs="Times New Roman" w:eastAsia="Times New Roman" w:hAnsi="Times New Roman"/>
                <w:sz w:val="15"/>
                <w:szCs w:val="15"/>
                <w:b w:val="1"/>
                <w:bCs w:val="1"/>
                <w:color w:val="auto"/>
              </w:rPr>
              <w:t>Treasury</w:t>
            </w:r>
          </w:p>
        </w:tc>
        <w:tc>
          <w:tcPr>
            <w:tcW w:w="100" w:type="dxa"/>
            <w:vAlign w:val="bottom"/>
          </w:tcPr>
          <w:p>
            <w:pPr>
              <w:spacing w:after="0"/>
              <w:rPr>
                <w:sz w:val="14"/>
                <w:szCs w:val="14"/>
                <w:color w:val="auto"/>
              </w:rPr>
            </w:pPr>
          </w:p>
        </w:tc>
        <w:tc>
          <w:tcPr>
            <w:tcW w:w="780" w:type="dxa"/>
            <w:vAlign w:val="bottom"/>
          </w:tcPr>
          <w:p>
            <w:pPr>
              <w:jc w:val="right"/>
              <w:ind w:right="80"/>
              <w:spacing w:after="0" w:line="162" w:lineRule="exact"/>
              <w:rPr>
                <w:sz w:val="20"/>
                <w:szCs w:val="20"/>
                <w:color w:val="auto"/>
              </w:rPr>
            </w:pPr>
            <w:r>
              <w:rPr>
                <w:rFonts w:ascii="Times New Roman" w:cs="Times New Roman" w:eastAsia="Times New Roman" w:hAnsi="Times New Roman"/>
                <w:sz w:val="15"/>
                <w:szCs w:val="15"/>
                <w:b w:val="1"/>
                <w:bCs w:val="1"/>
                <w:color w:val="auto"/>
              </w:rPr>
              <w:t>Retained</w:t>
            </w:r>
          </w:p>
        </w:tc>
        <w:tc>
          <w:tcPr>
            <w:tcW w:w="220" w:type="dxa"/>
            <w:vAlign w:val="bottom"/>
          </w:tcPr>
          <w:p>
            <w:pPr>
              <w:spacing w:after="0"/>
              <w:rPr>
                <w:sz w:val="14"/>
                <w:szCs w:val="14"/>
                <w:color w:val="auto"/>
              </w:rPr>
            </w:pPr>
          </w:p>
        </w:tc>
        <w:tc>
          <w:tcPr>
            <w:tcW w:w="1120" w:type="dxa"/>
            <w:vAlign w:val="bottom"/>
            <w:gridSpan w:val="3"/>
          </w:tcPr>
          <w:p>
            <w:pPr>
              <w:jc w:val="center"/>
              <w:ind w:right="280"/>
              <w:spacing w:after="0" w:line="162" w:lineRule="exact"/>
              <w:rPr>
                <w:sz w:val="20"/>
                <w:szCs w:val="20"/>
                <w:color w:val="auto"/>
              </w:rPr>
            </w:pPr>
            <w:r>
              <w:rPr>
                <w:rFonts w:ascii="Times New Roman" w:cs="Times New Roman" w:eastAsia="Times New Roman" w:hAnsi="Times New Roman"/>
                <w:sz w:val="15"/>
                <w:szCs w:val="15"/>
                <w:b w:val="1"/>
                <w:bCs w:val="1"/>
                <w:color w:val="auto"/>
              </w:rPr>
              <w:t>translation</w:t>
            </w:r>
          </w:p>
        </w:tc>
        <w:tc>
          <w:tcPr>
            <w:tcW w:w="160" w:type="dxa"/>
            <w:vAlign w:val="bottom"/>
          </w:tcPr>
          <w:p>
            <w:pPr>
              <w:spacing w:after="0"/>
              <w:rPr>
                <w:sz w:val="14"/>
                <w:szCs w:val="14"/>
                <w:color w:val="auto"/>
              </w:rPr>
            </w:pPr>
          </w:p>
        </w:tc>
        <w:tc>
          <w:tcPr>
            <w:tcW w:w="94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5"/>
                <w:szCs w:val="15"/>
                <w:b w:val="1"/>
                <w:bCs w:val="1"/>
                <w:color w:val="auto"/>
              </w:rPr>
              <w:t>Opera</w:t>
            </w:r>
          </w:p>
        </w:tc>
      </w:tr>
      <w:tr>
        <w:trPr>
          <w:trHeight w:val="183"/>
        </w:trPr>
        <w:tc>
          <w:tcPr>
            <w:tcW w:w="328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outstanding</w:t>
            </w:r>
          </w:p>
        </w:tc>
        <w:tc>
          <w:tcPr>
            <w:tcW w:w="240" w:type="dxa"/>
            <w:vAlign w:val="bottom"/>
          </w:tcPr>
          <w:p>
            <w:pPr>
              <w:spacing w:after="0"/>
              <w:rPr>
                <w:sz w:val="15"/>
                <w:szCs w:val="15"/>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Share capital</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reserve</w:t>
            </w:r>
          </w:p>
        </w:tc>
        <w:tc>
          <w:tcPr>
            <w:tcW w:w="220" w:type="dxa"/>
            <w:vAlign w:val="bottom"/>
          </w:tcPr>
          <w:p>
            <w:pPr>
              <w:spacing w:after="0"/>
              <w:rPr>
                <w:sz w:val="15"/>
                <w:szCs w:val="15"/>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shareholders</w:t>
            </w:r>
          </w:p>
        </w:tc>
        <w:tc>
          <w:tcPr>
            <w:tcW w:w="100" w:type="dxa"/>
            <w:vAlign w:val="bottom"/>
          </w:tcPr>
          <w:p>
            <w:pPr>
              <w:spacing w:after="0"/>
              <w:rPr>
                <w:sz w:val="15"/>
                <w:szCs w:val="15"/>
                <w:color w:val="auto"/>
              </w:rPr>
            </w:pPr>
          </w:p>
        </w:tc>
      </w:tr>
      <w:tr>
        <w:trPr>
          <w:trHeight w:val="196"/>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 of January 1, 2025</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88,480,154</w:t>
            </w:r>
          </w:p>
        </w:tc>
        <w:tc>
          <w:tcPr>
            <w:tcW w:w="660" w:type="dxa"/>
            <w:vAlign w:val="bottom"/>
            <w:gridSpan w:val="2"/>
            <w:shd w:val="clear" w:color="auto" w:fill="CFF0FC"/>
          </w:tcPr>
          <w:p>
            <w:pPr>
              <w:jc w:val="right"/>
              <w:ind w:right="261"/>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647,212</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(238,815)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536,623</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(4,938)</w:t>
            </w:r>
          </w:p>
        </w:tc>
        <w:tc>
          <w:tcPr>
            <w:tcW w:w="16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940,100</w:t>
            </w:r>
          </w:p>
        </w:tc>
        <w:tc>
          <w:tcPr>
            <w:tcW w:w="100" w:type="dxa"/>
            <w:vAlign w:val="bottom"/>
            <w:shd w:val="clear" w:color="auto" w:fill="CFF0FC"/>
          </w:tcPr>
          <w:p>
            <w:pPr>
              <w:spacing w:after="0"/>
              <w:rPr>
                <w:sz w:val="17"/>
                <w:szCs w:val="17"/>
                <w:color w:val="auto"/>
              </w:rPr>
            </w:pPr>
          </w:p>
        </w:tc>
      </w:tr>
      <w:tr>
        <w:trPr>
          <w:trHeight w:val="203"/>
        </w:trPr>
        <w:tc>
          <w:tcPr>
            <w:tcW w:w="32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Net income</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18,283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18,283</w:t>
            </w:r>
          </w:p>
        </w:tc>
        <w:tc>
          <w:tcPr>
            <w:tcW w:w="100" w:type="dxa"/>
            <w:vAlign w:val="bottom"/>
          </w:tcPr>
          <w:p>
            <w:pPr>
              <w:spacing w:after="0"/>
              <w:rPr>
                <w:sz w:val="17"/>
                <w:szCs w:val="17"/>
                <w:color w:val="auto"/>
              </w:rPr>
            </w:pPr>
          </w:p>
        </w:tc>
      </w:tr>
      <w:tr>
        <w:trPr>
          <w:trHeight w:val="203"/>
        </w:trPr>
        <w:tc>
          <w:tcPr>
            <w:tcW w:w="3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1,153</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1,153</w:t>
            </w:r>
          </w:p>
        </w:tc>
        <w:tc>
          <w:tcPr>
            <w:tcW w:w="100" w:type="dxa"/>
            <w:vAlign w:val="bottom"/>
            <w:shd w:val="clear" w:color="auto" w:fill="CFF0FC"/>
          </w:tcPr>
          <w:p>
            <w:pPr>
              <w:spacing w:after="0"/>
              <w:rPr>
                <w:sz w:val="17"/>
                <w:szCs w:val="17"/>
                <w:color w:val="auto"/>
              </w:rPr>
            </w:pPr>
          </w:p>
        </w:tc>
      </w:tr>
      <w:tr>
        <w:trPr>
          <w:trHeight w:val="203"/>
        </w:trPr>
        <w:tc>
          <w:tcPr>
            <w:tcW w:w="32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Cost of equity awards, net of tax</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5,434</w:t>
            </w:r>
          </w:p>
        </w:tc>
        <w:tc>
          <w:tcPr>
            <w:tcW w:w="100" w:type="dxa"/>
            <w:vAlign w:val="bottom"/>
          </w:tcPr>
          <w:p>
            <w:pPr>
              <w:spacing w:after="0"/>
              <w:rPr>
                <w:sz w:val="17"/>
                <w:szCs w:val="17"/>
                <w:color w:val="auto"/>
              </w:rPr>
            </w:pPr>
          </w:p>
        </w:tc>
      </w:tr>
      <w:tr>
        <w:trPr>
          <w:trHeight w:val="189"/>
        </w:trPr>
        <w:tc>
          <w:tcPr>
            <w:tcW w:w="3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Issuance of shares upon exercise of equity</w:t>
            </w:r>
          </w:p>
        </w:tc>
        <w:tc>
          <w:tcPr>
            <w:tcW w:w="10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3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awards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1,020,700</w:t>
            </w: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2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Dividends</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(35,395)</w:t>
            </w:r>
          </w:p>
        </w:tc>
        <w:tc>
          <w:tcPr>
            <w:tcW w:w="10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(35,395)</w:t>
            </w:r>
          </w:p>
        </w:tc>
      </w:tr>
      <w:tr>
        <w:trPr>
          <w:trHeight w:val="20"/>
        </w:trPr>
        <w:tc>
          <w:tcPr>
            <w:tcW w:w="32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 of March 31, 2025</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89,500,854</w:t>
            </w: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61"/>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611,818</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(238,815)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560,340</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(3,786)</w:t>
            </w:r>
          </w:p>
        </w:tc>
        <w:tc>
          <w:tcPr>
            <w:tcW w:w="16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929,576</w:t>
            </w:r>
          </w:p>
        </w:tc>
        <w:tc>
          <w:tcPr>
            <w:tcW w:w="100" w:type="dxa"/>
            <w:vAlign w:val="bottom"/>
            <w:shd w:val="clear" w:color="auto" w:fill="CFF0FC"/>
          </w:tcPr>
          <w:p>
            <w:pPr>
              <w:spacing w:after="0"/>
              <w:rPr>
                <w:sz w:val="18"/>
                <w:szCs w:val="18"/>
                <w:color w:val="auto"/>
              </w:rPr>
            </w:pPr>
          </w:p>
        </w:tc>
      </w:tr>
      <w:tr>
        <w:trPr>
          <w:trHeight w:val="20"/>
        </w:trPr>
        <w:tc>
          <w:tcPr>
            <w:tcW w:w="328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-24765</wp:posOffset>
            </wp:positionV>
            <wp:extent cx="768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-7620</wp:posOffset>
            </wp:positionV>
            <wp:extent cx="768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-24765</wp:posOffset>
            </wp:positionV>
            <wp:extent cx="768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-7620</wp:posOffset>
            </wp:positionV>
            <wp:extent cx="768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-24765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-7620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-24765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-7620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-24765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-7620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-24765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-7620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Opera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500" w:type="dxa"/>
            <w:vAlign w:val="bottom"/>
            <w:gridSpan w:val="7"/>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2"/>
        </w:trPr>
        <w:tc>
          <w:tcPr>
            <w:tcW w:w="7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r>
      <w:tr>
        <w:trPr>
          <w:trHeight w:val="209"/>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300" w:type="dxa"/>
            <w:vAlign w:val="bottom"/>
            <w:gridSpan w:val="2"/>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19,468</w:t>
            </w:r>
          </w:p>
        </w:tc>
        <w:tc>
          <w:tcPr>
            <w:tcW w:w="16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20,791</w:t>
            </w: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i w:val="1"/>
                <w:iCs w:val="1"/>
                <w:color w:val="auto"/>
              </w:rPr>
              <w:t>Adjustments to reconcile income before income taxes to net cash flow from operating activities:</w:t>
            </w: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finance (income) expense</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Share of net loss of equity-accounted investees</w:t>
            </w: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Impairment of non-financial assets</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4,434</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Cost of equity awards</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5,761</w:t>
            </w: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Other adjustments</w:t>
            </w: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(577)</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(572)</w:t>
            </w:r>
          </w:p>
        </w:tc>
      </w:tr>
      <w:tr>
        <w:trPr>
          <w:trHeight w:val="216"/>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Changes in working capital:</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Trade and other receivables</w:t>
            </w: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8,291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(11,034)</w:t>
            </w:r>
          </w:p>
        </w:tc>
      </w:tr>
      <w:tr>
        <w:trPr>
          <w:trHeight w:val="216"/>
        </w:trPr>
        <w:tc>
          <w:tcPr>
            <w:tcW w:w="7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current assets</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Trade and other payables</w:t>
            </w: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(6,693)</w:t>
            </w:r>
          </w:p>
        </w:tc>
      </w:tr>
      <w:tr>
        <w:trPr>
          <w:trHeight w:val="216"/>
        </w:trPr>
        <w:tc>
          <w:tcPr>
            <w:tcW w:w="7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(2,569)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(1,050)</w:t>
            </w:r>
          </w:p>
        </w:tc>
      </w:tr>
      <w:tr>
        <w:trPr>
          <w:trHeight w:val="216"/>
        </w:trPr>
        <w:tc>
          <w:tcPr>
            <w:tcW w:w="74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Other liabilities</w:t>
            </w: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3,140</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taxes paid</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(286)</w:t>
            </w:r>
          </w:p>
        </w:tc>
      </w:tr>
      <w:tr>
        <w:trPr>
          <w:trHeight w:val="209"/>
        </w:trPr>
        <w:tc>
          <w:tcPr>
            <w:tcW w:w="740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b w:val="1"/>
                <w:bCs w:val="1"/>
                <w:color w:val="auto"/>
              </w:rPr>
              <w:t>Net cash flow from operating activities</w:t>
            </w:r>
          </w:p>
        </w:tc>
        <w:tc>
          <w:tcPr>
            <w:tcW w:w="34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31,022</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15,945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Purchase of equipment</w:t>
            </w: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(20,234)</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(596)</w:t>
            </w:r>
          </w:p>
        </w:tc>
      </w:tr>
      <w:tr>
        <w:trPr>
          <w:trHeight w:val="216"/>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Development expenditure</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(2,231)</w:t>
            </w:r>
          </w:p>
        </w:tc>
      </w:tr>
      <w:tr>
        <w:trPr>
          <w:trHeight w:val="216"/>
        </w:trPr>
        <w:tc>
          <w:tcPr>
            <w:tcW w:w="7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Investment in an associate</w:t>
            </w: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(1,250)</w:t>
            </w:r>
          </w:p>
        </w:tc>
      </w:tr>
      <w:tr>
        <w:trPr>
          <w:trHeight w:val="216"/>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received</w:t>
            </w:r>
          </w:p>
        </w:tc>
        <w:tc>
          <w:tcPr>
            <w:tcW w:w="34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tcPr>
          <w:p>
            <w:pPr>
              <w:spacing w:after="0"/>
              <w:rPr>
                <w:sz w:val="18"/>
                <w:szCs w:val="18"/>
                <w:color w:val="auto"/>
              </w:rPr>
            </w:pPr>
          </w:p>
        </w:tc>
      </w:tr>
      <w:tr>
        <w:trPr>
          <w:trHeight w:val="209"/>
        </w:trPr>
        <w:tc>
          <w:tcPr>
            <w:tcW w:w="74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b w:val="1"/>
                <w:bCs w:val="1"/>
                <w:color w:val="auto"/>
              </w:rPr>
              <w:t>Net cash flow used in investing activities</w:t>
            </w: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(20,849)</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(3,399)</w:t>
            </w:r>
          </w:p>
        </w:tc>
      </w:tr>
      <w:tr>
        <w:trPr>
          <w:trHeight w:val="210"/>
        </w:trPr>
        <w:tc>
          <w:tcPr>
            <w:tcW w:w="74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tcBorders>
              <w:top w:val="single" w:sz="8" w:color="CFF0F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Dividends paid</w:t>
            </w: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(9,874)</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(35,395)</w:t>
            </w:r>
          </w:p>
        </w:tc>
      </w:tr>
      <w:tr>
        <w:trPr>
          <w:trHeight w:val="216"/>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 of borrowings</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Payment of lease liabilities</w:t>
            </w: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(1,108)</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(1,091)</w:t>
            </w:r>
          </w:p>
        </w:tc>
      </w:tr>
      <w:tr>
        <w:trPr>
          <w:trHeight w:val="216"/>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paid</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w:t>
            </w:r>
          </w:p>
        </w:tc>
      </w:tr>
      <w:tr>
        <w:trPr>
          <w:trHeight w:val="20"/>
        </w:trPr>
        <w:tc>
          <w:tcPr>
            <w:tcW w:w="7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4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b w:val="1"/>
                <w:bCs w:val="1"/>
                <w:color w:val="auto"/>
              </w:rPr>
              <w:t>Net cash flow used in financing activities</w:t>
            </w: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(11,235)</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(36,606)</w:t>
            </w:r>
          </w:p>
        </w:tc>
      </w:tr>
      <w:tr>
        <w:trPr>
          <w:trHeight w:val="20"/>
        </w:trPr>
        <w:tc>
          <w:tcPr>
            <w:tcW w:w="740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change in cash and cash equivalents</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(24,060)</w:t>
            </w:r>
          </w:p>
        </w:tc>
      </w:tr>
      <w:tr>
        <w:trPr>
          <w:trHeight w:val="210"/>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4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93,863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126,797</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tcPr>
          <w:p>
            <w:pPr>
              <w:spacing w:after="0"/>
              <w:rPr>
                <w:sz w:val="18"/>
                <w:szCs w:val="18"/>
                <w:color w:val="auto"/>
              </w:rPr>
            </w:pPr>
          </w:p>
        </w:tc>
      </w:tr>
      <w:tr>
        <w:trPr>
          <w:trHeight w:val="20"/>
        </w:trPr>
        <w:tc>
          <w:tcPr>
            <w:tcW w:w="7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34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91,338</w:t>
            </w:r>
          </w:p>
        </w:tc>
        <w:tc>
          <w:tcPr>
            <w:tcW w:w="16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103,546</w:t>
            </w:r>
          </w:p>
        </w:tc>
        <w:tc>
          <w:tcPr>
            <w:tcW w:w="100" w:type="dxa"/>
            <w:vAlign w:val="bottom"/>
            <w:shd w:val="clear" w:color="auto" w:fill="CFF0FC"/>
          </w:tcPr>
          <w:p>
            <w:pPr>
              <w:spacing w:after="0"/>
              <w:rPr>
                <w:sz w:val="21"/>
                <w:szCs w:val="21"/>
                <w:color w:val="auto"/>
              </w:rPr>
            </w:pPr>
          </w:p>
        </w:tc>
      </w:tr>
      <w:tr>
        <w:trPr>
          <w:trHeight w:val="602"/>
        </w:trPr>
        <w:tc>
          <w:tcPr>
            <w:tcW w:w="7400" w:type="dxa"/>
            <w:vAlign w:val="bottom"/>
            <w:tcBorders>
              <w:top w:val="single" w:sz="8" w:color="CFF0FC"/>
            </w:tcBorders>
          </w:tcPr>
          <w:p>
            <w:pPr>
              <w:ind w:left="5580"/>
              <w:spacing w:after="0"/>
              <w:rPr>
                <w:sz w:val="20"/>
                <w:szCs w:val="20"/>
                <w:color w:val="auto"/>
              </w:rPr>
            </w:pPr>
            <w:r>
              <w:rPr>
                <w:rFonts w:ascii="Times New Roman" w:cs="Times New Roman" w:eastAsia="Times New Roman" w:hAnsi="Times New Roman"/>
                <w:sz w:val="18"/>
                <w:szCs w:val="18"/>
                <w:color w:val="auto"/>
              </w:rPr>
              <w:t>8</w:t>
            </w:r>
          </w:p>
        </w:tc>
        <w:tc>
          <w:tcPr>
            <w:tcW w:w="340" w:type="dxa"/>
            <w:vAlign w:val="bottom"/>
            <w:tcBorders>
              <w:top w:val="single" w:sz="8" w:color="CFF0FC"/>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506"/>
        </w:trPr>
        <w:tc>
          <w:tcPr>
            <w:tcW w:w="74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-3007995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-3007995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-2167890</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-2167890</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-1328420</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-1328420</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-753745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-736600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-753745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-736600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Opera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Financial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unaudited)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revenue disaggregated by type: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00" w:type="dxa"/>
            <w:vAlign w:val="bottom"/>
            <w:gridSpan w:val="7"/>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02"/>
        </w:trPr>
        <w:tc>
          <w:tcPr>
            <w:tcW w:w="6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2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Advertising</w:t>
            </w:r>
          </w:p>
        </w:tc>
        <w:tc>
          <w:tcPr>
            <w:tcW w:w="2000" w:type="dxa"/>
            <w:vAlign w:val="bottom"/>
            <w:gridSpan w:val="2"/>
            <w:shd w:val="clear" w:color="auto" w:fill="CFF0FC"/>
          </w:tcPr>
          <w:p>
            <w:pPr>
              <w:jc w:val="right"/>
              <w:ind w:right="757"/>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58,648</w:t>
            </w:r>
          </w:p>
        </w:tc>
        <w:tc>
          <w:tcPr>
            <w:tcW w:w="16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Search</w:t>
            </w: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Technology licensing and other revenue</w:t>
            </w:r>
          </w:p>
        </w:tc>
        <w:tc>
          <w:tcPr>
            <w:tcW w:w="106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000" w:type="dxa"/>
            <w:vAlign w:val="bottom"/>
            <w:gridSpan w:val="2"/>
          </w:tcPr>
          <w:p>
            <w:pPr>
              <w:jc w:val="right"/>
              <w:ind w:right="757"/>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101,871</w:t>
            </w:r>
          </w:p>
        </w:tc>
        <w:tc>
          <w:tcPr>
            <w:tcW w:w="16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Share-based Compensation Expenses</w:t>
            </w:r>
          </w:p>
        </w:tc>
        <w:tc>
          <w:tcPr>
            <w:tcW w:w="10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8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The table below presents the amounts of share-based compensation expenses:</w:t>
            </w: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6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500" w:type="dxa"/>
            <w:vAlign w:val="bottom"/>
            <w:gridSpan w:val="7"/>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02"/>
        </w:trPr>
        <w:tc>
          <w:tcPr>
            <w:tcW w:w="6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2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Opera-granted awards</w:t>
            </w:r>
          </w:p>
        </w:tc>
        <w:tc>
          <w:tcPr>
            <w:tcW w:w="2000" w:type="dxa"/>
            <w:vAlign w:val="bottom"/>
            <w:gridSpan w:val="2"/>
            <w:shd w:val="clear" w:color="auto" w:fill="CFF0FC"/>
          </w:tcPr>
          <w:p>
            <w:pPr>
              <w:jc w:val="right"/>
              <w:ind w:right="757"/>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(779)</w:t>
            </w: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(7,299)</w:t>
            </w:r>
          </w:p>
        </w:tc>
        <w:tc>
          <w:tcPr>
            <w:tcW w:w="0" w:type="dxa"/>
            <w:vAlign w:val="bottom"/>
          </w:tcPr>
          <w:p>
            <w:pPr>
              <w:spacing w:after="0"/>
              <w:rPr>
                <w:sz w:val="1"/>
                <w:szCs w:val="1"/>
                <w:color w:val="auto"/>
              </w:rPr>
            </w:pPr>
          </w:p>
        </w:tc>
      </w:tr>
      <w:tr>
        <w:trPr>
          <w:trHeight w:val="216"/>
        </w:trPr>
        <w:tc>
          <w:tcPr>
            <w:tcW w:w="66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Cost of parent-granted awards </w:t>
            </w:r>
            <w:r>
              <w:rPr>
                <w:rFonts w:ascii="Times New Roman" w:cs="Times New Roman" w:eastAsia="Times New Roman" w:hAnsi="Times New Roman"/>
                <w:sz w:val="24"/>
                <w:szCs w:val="24"/>
                <w:color w:val="auto"/>
                <w:vertAlign w:val="superscript"/>
              </w:rPr>
              <w:t>(1)</w:t>
            </w: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Total cost of equity awards</w:t>
            </w:r>
          </w:p>
        </w:tc>
        <w:tc>
          <w:tcPr>
            <w:tcW w:w="10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(2,158)</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(5,761)</w:t>
            </w:r>
          </w:p>
        </w:tc>
        <w:tc>
          <w:tcPr>
            <w:tcW w:w="0" w:type="dxa"/>
            <w:vAlign w:val="bottom"/>
          </w:tcPr>
          <w:p>
            <w:pPr>
              <w:spacing w:after="0"/>
              <w:rPr>
                <w:sz w:val="1"/>
                <w:szCs w:val="1"/>
                <w:color w:val="auto"/>
              </w:rPr>
            </w:pPr>
          </w:p>
        </w:tc>
      </w:tr>
      <w:tr>
        <w:trPr>
          <w:trHeight w:val="20"/>
        </w:trPr>
        <w:tc>
          <w:tcPr>
            <w:tcW w:w="668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Social security contributions for Opera-granted awards</w:t>
            </w: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Total share-based compensation expenses</w:t>
            </w:r>
          </w:p>
        </w:tc>
        <w:tc>
          <w:tcPr>
            <w:tcW w:w="106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757"/>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(2,610)</w:t>
            </w: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(6,000)</w:t>
            </w:r>
          </w:p>
        </w:tc>
        <w:tc>
          <w:tcPr>
            <w:tcW w:w="0" w:type="dxa"/>
            <w:vAlign w:val="bottom"/>
          </w:tcPr>
          <w:p>
            <w:pPr>
              <w:spacing w:after="0"/>
              <w:rPr>
                <w:sz w:val="1"/>
                <w:szCs w:val="1"/>
                <w:color w:val="auto"/>
              </w:rPr>
            </w:pPr>
          </w:p>
        </w:tc>
      </w:tr>
      <w:tr>
        <w:trPr>
          <w:trHeight w:val="201"/>
        </w:trPr>
        <w:tc>
          <w:tcPr>
            <w:tcW w:w="6680" w:type="dxa"/>
            <w:vAlign w:val="bottom"/>
            <w:tcBorders>
              <w:top w:val="single" w:sz="8" w:color="CFF0FC"/>
            </w:tcBorders>
          </w:tcPr>
          <w:p>
            <w:pPr>
              <w:spacing w:after="0" w:line="201" w:lineRule="exact"/>
              <w:rPr>
                <w:sz w:val="20"/>
                <w:szCs w:val="20"/>
                <w:color w:val="auto"/>
              </w:rPr>
            </w:pPr>
            <w:r>
              <w:rPr>
                <w:rFonts w:ascii="Times New Roman" w:cs="Times New Roman" w:eastAsia="Times New Roman" w:hAnsi="Times New Roman"/>
                <w:sz w:val="18"/>
                <w:szCs w:val="18"/>
                <w:color w:val="auto"/>
              </w:rPr>
              <w:t>_______________</w:t>
            </w:r>
          </w:p>
        </w:tc>
        <w:tc>
          <w:tcPr>
            <w:tcW w:w="1060" w:type="dxa"/>
            <w:vAlign w:val="bottom"/>
            <w:tcBorders>
              <w:top w:val="single" w:sz="8" w:color="CFF0FC"/>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-1982470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-1982470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-456565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-456565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-165100</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-147955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-165100</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-147955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380" w:right="180" w:hanging="372"/>
        <w:spacing w:after="0" w:line="275" w:lineRule="auto"/>
        <w:tabs>
          <w:tab w:leader="none" w:pos="3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Kunlun, the majority shareholder of Opera, has granted equity awards to Opera employees as compensation for services provided to Opera. Opera does not have any obligation to settle the awards granted by Kunlun and such awards do not lead to dilution for Opera shareholders.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Operating Expenses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items of other operating expenses: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8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42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Hosting</w:t>
            </w:r>
          </w:p>
        </w:tc>
        <w:tc>
          <w:tcPr>
            <w:tcW w:w="4520" w:type="dxa"/>
            <w:vAlign w:val="bottom"/>
            <w:gridSpan w:val="2"/>
            <w:shd w:val="clear" w:color="auto" w:fill="CFF0FC"/>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(3,008)</w:t>
            </w:r>
          </w:p>
        </w:tc>
        <w:tc>
          <w:tcPr>
            <w:tcW w:w="1140" w:type="dxa"/>
            <w:vAlign w:val="bottom"/>
            <w:gridSpan w:val="2"/>
            <w:shd w:val="clear" w:color="auto" w:fill="CFF0FC"/>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(2,930)</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Audit, legal and other advisory services</w:t>
            </w:r>
          </w:p>
        </w:tc>
        <w:tc>
          <w:tcPr>
            <w:tcW w:w="3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(1,600)</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(2,202)</w:t>
            </w:r>
          </w:p>
        </w:tc>
      </w:tr>
      <w:tr>
        <w:trPr>
          <w:trHeight w:val="21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 license fees</w:t>
            </w:r>
          </w:p>
        </w:tc>
        <w:tc>
          <w:tcPr>
            <w:tcW w:w="35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(1,241)</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(838)</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Rent and other office expenses</w:t>
            </w:r>
          </w:p>
        </w:tc>
        <w:tc>
          <w:tcPr>
            <w:tcW w:w="3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(596)</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(631)</w:t>
            </w:r>
          </w:p>
        </w:tc>
      </w:tr>
      <w:tr>
        <w:trPr>
          <w:trHeight w:val="21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Travel</w:t>
            </w:r>
          </w:p>
        </w:tc>
        <w:tc>
          <w:tcPr>
            <w:tcW w:w="35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(498)</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(733)</w:t>
            </w:r>
          </w:p>
        </w:tc>
      </w:tr>
      <w:tr>
        <w:trPr>
          <w:trHeight w:val="20"/>
        </w:trPr>
        <w:tc>
          <w:tcPr>
            <w:tcW w:w="42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2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Total other operating expenses</w:t>
            </w:r>
          </w:p>
        </w:tc>
        <w:tc>
          <w:tcPr>
            <w:tcW w:w="352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(7,224)</w:t>
            </w:r>
          </w:p>
        </w:tc>
        <w:tc>
          <w:tcPr>
            <w:tcW w:w="1140" w:type="dxa"/>
            <w:vAlign w:val="bottom"/>
            <w:gridSpan w:val="2"/>
            <w:shd w:val="clear" w:color="auto" w:fill="CFF0FC"/>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(7,833)</w:t>
            </w:r>
          </w:p>
        </w:tc>
      </w:tr>
      <w:tr>
        <w:trPr>
          <w:trHeight w:val="588"/>
        </w:trPr>
        <w:tc>
          <w:tcPr>
            <w:tcW w:w="4220" w:type="dxa"/>
            <w:vAlign w:val="bottom"/>
            <w:tcBorders>
              <w:top w:val="single" w:sz="8" w:color="CFF0FC"/>
            </w:tcBorders>
          </w:tcPr>
          <w:p>
            <w:pPr>
              <w:spacing w:after="0"/>
              <w:rPr>
                <w:sz w:val="24"/>
                <w:szCs w:val="24"/>
                <w:color w:val="auto"/>
              </w:rPr>
            </w:pPr>
          </w:p>
        </w:tc>
        <w:tc>
          <w:tcPr>
            <w:tcW w:w="3520" w:type="dxa"/>
            <w:vAlign w:val="bottom"/>
            <w:tcBorders>
              <w:top w:val="single" w:sz="8" w:color="CFF0FC"/>
            </w:tcBorders>
          </w:tcPr>
          <w:p>
            <w:pPr>
              <w:jc w:val="right"/>
              <w:ind w:right="1990"/>
              <w:spacing w:after="0"/>
              <w:rPr>
                <w:sz w:val="20"/>
                <w:szCs w:val="20"/>
                <w:color w:val="auto"/>
              </w:rPr>
            </w:pPr>
            <w:r>
              <w:rPr>
                <w:rFonts w:ascii="Times New Roman" w:cs="Times New Roman" w:eastAsia="Times New Roman" w:hAnsi="Times New Roman"/>
                <w:sz w:val="18"/>
                <w:szCs w:val="18"/>
                <w:color w:val="auto"/>
              </w:rPr>
              <w:t>9</w:t>
            </w:r>
          </w:p>
        </w:tc>
        <w:tc>
          <w:tcPr>
            <w:tcW w:w="10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506"/>
        </w:trPr>
        <w:tc>
          <w:tcPr>
            <w:tcW w:w="422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-744855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-727710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-744855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-727710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12" w:name="page13"/>
    <w:bookmarkEnd w:id="12"/>
    <w:p>
      <w:pPr>
        <w:jc w:val="center"/>
        <w:ind w:left="3740"/>
        <w:spacing w:after="0"/>
        <w:rPr>
          <w:sz w:val="20"/>
          <w:szCs w:val="20"/>
          <w:color w:val="auto"/>
        </w:rPr>
      </w:pPr>
      <w:r>
        <w:rPr>
          <w:rFonts w:ascii="Times New Roman" w:cs="Times New Roman" w:eastAsia="Times New Roman" w:hAnsi="Times New Roman"/>
          <w:sz w:val="18"/>
          <w:szCs w:val="18"/>
          <w:b w:val="1"/>
          <w:bCs w:val="1"/>
          <w:color w:val="auto"/>
        </w:rPr>
        <w:t>Opera Limited</w:t>
      </w:r>
    </w:p>
    <w:p>
      <w:pPr>
        <w:spacing w:after="0" w:line="3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Reconciliations of Non-IFRS Financial Measures</w:t>
      </w:r>
    </w:p>
    <w:p>
      <w:pPr>
        <w:spacing w:after="0" w:line="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i w:val="1"/>
          <w:iCs w:val="1"/>
          <w:color w:val="auto"/>
        </w:rPr>
        <w:t>(In thousands, except per share amounts, unaudited)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adjusted net income to net income: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 (deduct):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Share of net loss of equity-accounted investees</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Impairment of non-financial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Amortization of acquired intangible assets</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Share-based compensation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Income tax effect on adjustments</w:t>
      </w:r>
    </w:p>
    <w:p>
      <w:pPr>
        <w:spacing w:after="0" w:line="4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Adjusted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ind w:right="3480"/>
        <w:spacing w:after="0" w:line="260" w:lineRule="auto"/>
        <w:rPr>
          <w:sz w:val="20"/>
          <w:szCs w:val="20"/>
          <w:color w:val="auto"/>
        </w:rPr>
      </w:pPr>
      <w:r>
        <w:rPr>
          <w:rFonts w:ascii="Times New Roman" w:cs="Times New Roman" w:eastAsia="Times New Roman" w:hAnsi="Times New Roman"/>
          <w:sz w:val="18"/>
          <w:szCs w:val="18"/>
          <w:color w:val="auto"/>
        </w:rPr>
        <w:t xml:space="preserve">Diluted weighted-average number of shares outstanding </w:t>
      </w:r>
      <w:r>
        <w:rPr>
          <w:rFonts w:ascii="Times New Roman" w:cs="Times New Roman" w:eastAsia="Times New Roman" w:hAnsi="Times New Roman"/>
          <w:sz w:val="18"/>
          <w:szCs w:val="18"/>
          <w:b w:val="1"/>
          <w:bCs w:val="1"/>
          <w:color w:val="auto"/>
        </w:rPr>
        <w:t>Adjusted diluted earnings per share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reconciliation of adjusted EBITDA to net income: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 (deduct):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Income tax expense</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Net finance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Share of net loss of equity-accounted investees</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Impairment of non-financial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Share-based compensation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jc w:val="center"/>
        <w:ind w:right="5520"/>
        <w:spacing w:after="0"/>
        <w:rPr>
          <w:sz w:val="20"/>
          <w:szCs w:val="20"/>
          <w:color w:val="auto"/>
        </w:rPr>
      </w:pPr>
      <w:r>
        <w:rPr>
          <w:rFonts w:ascii="Times New Roman" w:cs="Times New Roman" w:eastAsia="Times New Roman" w:hAnsi="Times New Roman"/>
          <w:sz w:val="18"/>
          <w:szCs w:val="18"/>
          <w:color w:val="auto"/>
        </w:rPr>
        <w:t>Other operating income</w:t>
      </w:r>
    </w:p>
    <w:p>
      <w:pPr>
        <w:spacing w:after="0" w:line="41" w:lineRule="exact"/>
        <w:rPr>
          <w:sz w:val="20"/>
          <w:szCs w:val="20"/>
          <w:color w:val="auto"/>
        </w:rPr>
      </w:pPr>
    </w:p>
    <w:p>
      <w:pPr>
        <w:jc w:val="center"/>
        <w:ind w:right="5520"/>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reconciles free cash flow from operations to net cash flow from operating activities: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flow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Purchase of equipment</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Development expenditure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Payment of lease liabilities</w:t>
      </w:r>
    </w:p>
    <w:p>
      <w:pPr>
        <w:spacing w:after="0" w:line="4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Free cash flow from operations</w:t>
      </w:r>
    </w:p>
    <w:p>
      <w:pPr>
        <w:spacing w:after="0" w:line="200" w:lineRule="exact"/>
        <w:rPr>
          <w:sz w:val="20"/>
          <w:szCs w:val="20"/>
          <w:color w:val="auto"/>
        </w:rPr>
      </w:pPr>
    </w:p>
    <w:p>
      <w:pPr>
        <w:spacing w:after="0" w:line="21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7"/>
                <w:szCs w:val="17"/>
                <w:color w:val="auto"/>
              </w:rPr>
            </w:pPr>
          </w:p>
        </w:tc>
      </w:tr>
      <w:tr>
        <w:trPr>
          <w:trHeight w:val="228"/>
        </w:trPr>
        <w:tc>
          <w:tcPr>
            <w:tcW w:w="20" w:type="dxa"/>
            <w:vAlign w:val="bottom"/>
          </w:tcPr>
          <w:p>
            <w:pPr>
              <w:spacing w:after="0"/>
              <w:rPr>
                <w:sz w:val="19"/>
                <w:szCs w:val="19"/>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18,283</w:t>
            </w:r>
          </w:p>
        </w:tc>
        <w:tc>
          <w:tcPr>
            <w:tcW w:w="60" w:type="dxa"/>
            <w:vAlign w:val="bottom"/>
          </w:tcPr>
          <w:p>
            <w:pPr>
              <w:spacing w:after="0"/>
              <w:rPr>
                <w:sz w:val="19"/>
                <w:szCs w:val="19"/>
                <w:color w:val="auto"/>
              </w:rPr>
            </w:pPr>
          </w:p>
        </w:tc>
      </w:tr>
      <w:tr>
        <w:trPr>
          <w:trHeight w:val="395"/>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(1,514)</w:t>
            </w:r>
          </w:p>
        </w:tc>
      </w:tr>
      <w:tr>
        <w:trPr>
          <w:trHeight w:val="209"/>
        </w:trPr>
        <w:tc>
          <w:tcPr>
            <w:tcW w:w="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17,677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24,154</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89,243</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90,188</w:t>
            </w:r>
          </w:p>
        </w:tc>
        <w:tc>
          <w:tcPr>
            <w:tcW w:w="60" w:type="dxa"/>
            <w:vAlign w:val="bottom"/>
          </w:tcPr>
          <w:p>
            <w:pPr>
              <w:spacing w:after="0"/>
              <w:rPr>
                <w:sz w:val="15"/>
                <w:szCs w:val="15"/>
                <w:color w:val="auto"/>
              </w:rPr>
            </w:pPr>
          </w:p>
        </w:tc>
      </w:tr>
      <w:tr>
        <w:trPr>
          <w:trHeight w:val="234"/>
        </w:trPr>
        <w:tc>
          <w:tcPr>
            <w:tcW w:w="34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60" w:type="dxa"/>
            <w:vAlign w:val="bottom"/>
          </w:tcPr>
          <w:p>
            <w:pPr>
              <w:spacing w:after="0"/>
              <w:rPr>
                <w:sz w:val="20"/>
                <w:szCs w:val="20"/>
                <w:color w:val="auto"/>
              </w:rPr>
            </w:pPr>
          </w:p>
        </w:tc>
        <w:tc>
          <w:tcPr>
            <w:tcW w:w="46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60" w:type="dxa"/>
            <w:vAlign w:val="bottom"/>
          </w:tcPr>
          <w:p>
            <w:pPr>
              <w:spacing w:after="0"/>
              <w:rPr>
                <w:sz w:val="20"/>
                <w:szCs w:val="20"/>
                <w:color w:val="auto"/>
              </w:rPr>
            </w:pPr>
          </w:p>
        </w:tc>
      </w:tr>
      <w:tr>
        <w:trPr>
          <w:trHeight w:val="848"/>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20" w:type="dxa"/>
            <w:vAlign w:val="bottom"/>
            <w:gridSpan w:val="6"/>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199"/>
        </w:trPr>
        <w:tc>
          <w:tcPr>
            <w:tcW w:w="2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7"/>
                <w:szCs w:val="17"/>
                <w:color w:val="auto"/>
              </w:rPr>
            </w:pPr>
          </w:p>
        </w:tc>
      </w:tr>
      <w:tr>
        <w:trPr>
          <w:trHeight w:val="228"/>
        </w:trPr>
        <w:tc>
          <w:tcPr>
            <w:tcW w:w="20" w:type="dxa"/>
            <w:vAlign w:val="bottom"/>
          </w:tcPr>
          <w:p>
            <w:pPr>
              <w:spacing w:after="0"/>
              <w:rPr>
                <w:sz w:val="19"/>
                <w:szCs w:val="19"/>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18,283</w:t>
            </w:r>
          </w:p>
        </w:tc>
        <w:tc>
          <w:tcPr>
            <w:tcW w:w="60" w:type="dxa"/>
            <w:vAlign w:val="bottom"/>
          </w:tcPr>
          <w:p>
            <w:pPr>
              <w:spacing w:after="0"/>
              <w:rPr>
                <w:sz w:val="19"/>
                <w:szCs w:val="19"/>
                <w:color w:val="auto"/>
              </w:rPr>
            </w:pPr>
          </w:p>
        </w:tc>
      </w:tr>
      <w:tr>
        <w:trPr>
          <w:trHeight w:val="395"/>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4,629</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32,259</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28"/>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20" w:type="dxa"/>
            <w:vAlign w:val="bottom"/>
            <w:gridSpan w:val="6"/>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199"/>
        </w:trPr>
        <w:tc>
          <w:tcPr>
            <w:tcW w:w="2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7"/>
                <w:szCs w:val="17"/>
                <w:color w:val="auto"/>
              </w:rPr>
            </w:pPr>
          </w:p>
        </w:tc>
      </w:tr>
      <w:tr>
        <w:trPr>
          <w:trHeight w:val="228"/>
        </w:trPr>
        <w:tc>
          <w:tcPr>
            <w:tcW w:w="20" w:type="dxa"/>
            <w:vAlign w:val="bottom"/>
          </w:tcPr>
          <w:p>
            <w:pPr>
              <w:spacing w:after="0"/>
              <w:rPr>
                <w:sz w:val="19"/>
                <w:szCs w:val="19"/>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31,022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15,945</w:t>
            </w:r>
          </w:p>
        </w:tc>
        <w:tc>
          <w:tcPr>
            <w:tcW w:w="60" w:type="dxa"/>
            <w:vAlign w:val="bottom"/>
          </w:tcPr>
          <w:p>
            <w:pPr>
              <w:spacing w:after="0"/>
              <w:rPr>
                <w:sz w:val="19"/>
                <w:szCs w:val="19"/>
                <w:color w:val="auto"/>
              </w:rPr>
            </w:pPr>
          </w:p>
        </w:tc>
      </w:tr>
      <w:tr>
        <w:trPr>
          <w:trHeight w:val="395"/>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(20,234)</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(596)</w:t>
            </w: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(2,231)</w:t>
            </w: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(1,091)</w:t>
            </w:r>
          </w:p>
        </w:tc>
      </w:tr>
      <w:tr>
        <w:trPr>
          <w:trHeight w:val="209"/>
        </w:trPr>
        <w:tc>
          <w:tcPr>
            <w:tcW w:w="20" w:type="dxa"/>
            <w:vAlign w:val="bottom"/>
            <w:tcBorders>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12,026</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2">
            <w:col w:w="7520" w:space="220"/>
            <w:col w:w="3460"/>
          </w:cols>
          <w:pgMar w:left="320" w:top="630" w:right="379" w:bottom="1440" w:gutter="0" w:footer="0" w:header="0"/>
        </w:sectPr>
      </w:pPr>
    </w:p>
    <w:bookmarkStart w:id="13" w:name="page14"/>
    <w:bookmarkEnd w:id="13"/>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2025-04-28T06:08:32Z</dcterms:created>
  <dcterms:modified xsi:type="dcterms:W3CDTF">2025-04-28T06:08:32Z</dcterms:modified>
</cp:coreProperties>
</file>