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18"/>
          <w:szCs w:val="18"/>
          <w:color w:val="auto"/>
        </w:rPr>
        <w:t>July 24, 2018</w:t>
      </w:r>
    </w:p>
    <w:p>
      <w:pPr>
        <w:spacing w:after="0" w:line="225" w:lineRule="exact"/>
        <w:rPr>
          <w:sz w:val="24"/>
          <w:szCs w:val="24"/>
          <w:color w:val="auto"/>
        </w:rPr>
      </w:pPr>
    </w:p>
    <w:p>
      <w:pPr>
        <w:spacing w:after="0"/>
        <w:rPr>
          <w:sz w:val="20"/>
          <w:szCs w:val="20"/>
          <w:color w:val="auto"/>
        </w:rPr>
      </w:pPr>
      <w:r>
        <w:rPr>
          <w:rFonts w:ascii="Arial" w:cs="Arial" w:eastAsia="Arial" w:hAnsi="Arial"/>
          <w:sz w:val="16"/>
          <w:szCs w:val="16"/>
          <w:color w:val="auto"/>
        </w:rPr>
        <w:t>China International Capital Corporation Hong Kong Securities Limited</w:t>
      </w:r>
    </w:p>
    <w:p>
      <w:pPr>
        <w:spacing w:after="0" w:line="46" w:lineRule="exact"/>
        <w:rPr>
          <w:sz w:val="24"/>
          <w:szCs w:val="24"/>
          <w:color w:val="auto"/>
        </w:rPr>
      </w:pPr>
    </w:p>
    <w:p>
      <w:pPr>
        <w:spacing w:after="0"/>
        <w:rPr>
          <w:sz w:val="20"/>
          <w:szCs w:val="20"/>
          <w:color w:val="auto"/>
        </w:rPr>
      </w:pPr>
      <w:r>
        <w:rPr>
          <w:rFonts w:ascii="Arial" w:cs="Arial" w:eastAsia="Arial" w:hAnsi="Arial"/>
          <w:sz w:val="18"/>
          <w:szCs w:val="18"/>
          <w:color w:val="auto"/>
        </w:rPr>
        <w:t>29th Floor, One International Finance Centre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 Harbour View Street</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Central, Hong Kong</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Citigroup Global Markets Inc.</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388 Greenwich Street</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New York, NY 10013</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United States</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as representatives of the several underwriters</w:t>
      </w:r>
    </w:p>
    <w:p>
      <w:pPr>
        <w:spacing w:after="0" w:line="221" w:lineRule="exact"/>
        <w:rPr>
          <w:sz w:val="24"/>
          <w:szCs w:val="24"/>
          <w:color w:val="auto"/>
        </w:rPr>
      </w:pPr>
    </w:p>
    <w:p>
      <w:pPr>
        <w:spacing w:after="0"/>
        <w:rPr>
          <w:sz w:val="20"/>
          <w:szCs w:val="20"/>
          <w:color w:val="auto"/>
        </w:rPr>
      </w:pPr>
      <w:r>
        <w:rPr>
          <w:rFonts w:ascii="Arial" w:cs="Arial" w:eastAsia="Arial" w:hAnsi="Arial"/>
          <w:sz w:val="18"/>
          <w:szCs w:val="18"/>
          <w:b w:val="1"/>
          <w:bCs w:val="1"/>
          <w:u w:val="single" w:color="auto"/>
          <w:color w:val="auto"/>
        </w:rPr>
        <w:t>VIA EDGAR</w:t>
      </w:r>
    </w:p>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Ms. Barbara C. Jacobs, Assistant Director</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Ms. Folake Ayoola, Special Counsel</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Stephen Krikorian, Accountant Branch Chief</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Ryan Rohn, Staff Accountant</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Office of Information Technologies and Services</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ectPr>
          <w:pgSz w:w="11900" w:h="16838" w:orient="portrait"/>
          <w:cols w:equalWidth="0" w:num="1">
            <w:col w:w="11400"/>
          </w:cols>
          <w:pgMar w:left="240" w:top="449" w:right="259" w:bottom="1440" w:gutter="0" w:footer="0" w:header="0"/>
        </w:sectPr>
      </w:pPr>
    </w:p>
    <w:p>
      <w:pPr>
        <w:spacing w:after="0" w:line="207" w:lineRule="exact"/>
        <w:rPr>
          <w:sz w:val="24"/>
          <w:szCs w:val="24"/>
          <w:color w:val="auto"/>
        </w:rPr>
      </w:pPr>
    </w:p>
    <w:p>
      <w:pPr>
        <w:spacing w:after="0"/>
        <w:rPr>
          <w:sz w:val="20"/>
          <w:szCs w:val="20"/>
          <w:color w:val="auto"/>
        </w:rPr>
      </w:pPr>
      <w:r>
        <w:rPr>
          <w:rFonts w:ascii="Arial" w:cs="Arial" w:eastAsia="Arial" w:hAnsi="Arial"/>
          <w:sz w:val="17"/>
          <w:szCs w:val="17"/>
          <w:b w:val="1"/>
          <w:bCs w:val="1"/>
          <w:color w:val="auto"/>
        </w:rPr>
        <w:t>Re:</w:t>
      </w:r>
    </w:p>
    <w:p>
      <w:pPr>
        <w:spacing w:after="0" w:line="20" w:lineRule="exact"/>
        <w:rPr>
          <w:sz w:val="24"/>
          <w:szCs w:val="24"/>
          <w:color w:val="auto"/>
        </w:rPr>
      </w:pPr>
      <w:r>
        <w:rPr>
          <w:sz w:val="24"/>
          <w:szCs w:val="24"/>
          <w:color w:val="auto"/>
        </w:rPr>
        <w:br w:type="column"/>
      </w:r>
    </w:p>
    <w:p>
      <w:pPr>
        <w:spacing w:after="0" w:line="187"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Opera Limited (CIK No. 0001737450)</w:t>
      </w:r>
    </w:p>
    <w:p>
      <w:pPr>
        <w:spacing w:after="0" w:line="27"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Registration Statement on Form F-1, as amended (File No. 333-226017)</w:t>
      </w:r>
    </w:p>
    <w:p>
      <w:pPr>
        <w:spacing w:after="0" w:line="32"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Registration Statement on Form 8-A (File No. 001-38588)</w:t>
      </w:r>
    </w:p>
    <w:p>
      <w:pPr>
        <w:spacing w:after="0" w:line="200" w:lineRule="exact"/>
        <w:rPr>
          <w:sz w:val="24"/>
          <w:szCs w:val="24"/>
          <w:color w:val="auto"/>
        </w:rPr>
      </w:pPr>
    </w:p>
    <w:p>
      <w:pPr>
        <w:sectPr>
          <w:pgSz w:w="11900" w:h="16838" w:orient="portrait"/>
          <w:cols w:equalWidth="0" w:num="2">
            <w:col w:w="280" w:space="380"/>
            <w:col w:w="10740"/>
          </w:cols>
          <w:pgMar w:left="240" w:top="449" w:right="259" w:bottom="1440" w:gutter="0" w:footer="0" w:header="0"/>
          <w:type w:val="continuous"/>
        </w:sectPr>
      </w:pPr>
    </w:p>
    <w:p>
      <w:pPr>
        <w:spacing w:after="0" w:line="11" w:lineRule="exact"/>
        <w:rPr>
          <w:sz w:val="24"/>
          <w:szCs w:val="24"/>
          <w:color w:val="auto"/>
        </w:rPr>
      </w:pPr>
    </w:p>
    <w:p>
      <w:pPr>
        <w:spacing w:after="0"/>
        <w:rPr>
          <w:sz w:val="20"/>
          <w:szCs w:val="20"/>
          <w:color w:val="auto"/>
        </w:rPr>
      </w:pPr>
      <w:r>
        <w:rPr>
          <w:rFonts w:ascii="Arial" w:cs="Arial" w:eastAsia="Arial" w:hAnsi="Arial"/>
          <w:sz w:val="18"/>
          <w:szCs w:val="18"/>
          <w:color w:val="auto"/>
        </w:rPr>
        <w:t>Ladies and Gentlemen:</w:t>
      </w:r>
    </w:p>
    <w:p>
      <w:pPr>
        <w:spacing w:after="0" w:line="225" w:lineRule="exact"/>
        <w:rPr>
          <w:sz w:val="24"/>
          <w:szCs w:val="24"/>
          <w:color w:val="auto"/>
        </w:rPr>
      </w:pPr>
    </w:p>
    <w:p>
      <w:pPr>
        <w:ind w:right="620" w:firstLine="389"/>
        <w:spacing w:after="0" w:line="277" w:lineRule="auto"/>
        <w:rPr>
          <w:sz w:val="20"/>
          <w:szCs w:val="20"/>
          <w:color w:val="auto"/>
        </w:rPr>
      </w:pPr>
      <w:r>
        <w:rPr>
          <w:rFonts w:ascii="Arial" w:cs="Arial" w:eastAsia="Arial" w:hAnsi="Arial"/>
          <w:sz w:val="18"/>
          <w:szCs w:val="18"/>
          <w:color w:val="auto"/>
        </w:rPr>
        <w:t>We hereby join Opera Limited (the “Company”) in connection with its request for acceleration of the above-referenced Registration Statements, requesting effectiveness at 4:00 p.m., Eastern Time, on July 26, 2018, or as soon thereafter as practicable.</w:t>
      </w:r>
    </w:p>
    <w:p>
      <w:pPr>
        <w:spacing w:after="0" w:line="170" w:lineRule="exact"/>
        <w:rPr>
          <w:sz w:val="24"/>
          <w:szCs w:val="24"/>
          <w:color w:val="auto"/>
        </w:rPr>
      </w:pPr>
    </w:p>
    <w:p>
      <w:pPr>
        <w:ind w:right="440" w:firstLine="389"/>
        <w:spacing w:after="0" w:line="264" w:lineRule="auto"/>
        <w:rPr>
          <w:sz w:val="20"/>
          <w:szCs w:val="20"/>
          <w:color w:val="auto"/>
        </w:rPr>
      </w:pPr>
      <w:r>
        <w:rPr>
          <w:rFonts w:ascii="Arial" w:cs="Arial" w:eastAsia="Arial" w:hAnsi="Arial"/>
          <w:sz w:val="18"/>
          <w:szCs w:val="18"/>
          <w:color w:val="auto"/>
        </w:rPr>
        <w:t>Pursuant to Rule 460 of the General Rules and Regulations promulgated under the Securities Act of 1933, as amended, we wish to advise you that, through the date hereof, approximately 410 copies of the Company’s preliminary prospectus dated July 13, 2018 were distributed to prospective underwriters, institutional investors, dealers and others.</w:t>
      </w:r>
    </w:p>
    <w:p>
      <w:pPr>
        <w:spacing w:after="0" w:line="181" w:lineRule="exact"/>
        <w:rPr>
          <w:sz w:val="24"/>
          <w:szCs w:val="24"/>
          <w:color w:val="auto"/>
        </w:rPr>
      </w:pPr>
    </w:p>
    <w:p>
      <w:pPr>
        <w:ind w:firstLine="324"/>
        <w:spacing w:after="0" w:line="277" w:lineRule="auto"/>
        <w:rPr>
          <w:sz w:val="20"/>
          <w:szCs w:val="20"/>
          <w:color w:val="auto"/>
        </w:rPr>
      </w:pPr>
      <w:r>
        <w:rPr>
          <w:rFonts w:ascii="Arial" w:cs="Arial" w:eastAsia="Arial" w:hAnsi="Arial"/>
          <w:sz w:val="18"/>
          <w:szCs w:val="18"/>
          <w:color w:val="auto"/>
        </w:rPr>
        <w:t>The undersigned advise that the underwriters have complied and will continue to comply with Rule 15c2-8 under the Securities Exchange Act of 1934, as amended.</w:t>
      </w:r>
    </w:p>
    <w:p>
      <w:pPr>
        <w:spacing w:after="0" w:line="170"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auto"/>
        </w:rPr>
        <w:t>[</w:t>
      </w:r>
      <w:r>
        <w:rPr>
          <w:rFonts w:ascii="Arial" w:cs="Arial" w:eastAsia="Arial" w:hAnsi="Arial"/>
          <w:sz w:val="18"/>
          <w:szCs w:val="18"/>
          <w:i w:val="1"/>
          <w:iCs w:val="1"/>
          <w:color w:val="auto"/>
        </w:rPr>
        <w:t>Signature page follows</w:t>
      </w:r>
      <w:r>
        <w:rPr>
          <w:rFonts w:ascii="Arial" w:cs="Arial" w:eastAsia="Arial" w:hAnsi="Arial"/>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443865</wp:posOffset>
            </wp:positionV>
            <wp:extent cx="72466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00"/>
          </w:cols>
          <w:pgMar w:left="240" w:top="449" w:right="259" w:bottom="1440" w:gutter="0" w:footer="0" w:header="0"/>
          <w:type w:val="continuous"/>
        </w:sectPr>
      </w:pPr>
    </w:p>
    <w:bookmarkStart w:id="1" w:name="page2"/>
    <w:bookmarkEnd w:id="1"/>
    <w:p>
      <w:pPr>
        <w:ind w:left="4520"/>
        <w:spacing w:after="0"/>
        <w:rPr>
          <w:sz w:val="20"/>
          <w:szCs w:val="20"/>
          <w:color w:val="auto"/>
        </w:rPr>
      </w:pPr>
      <w:r>
        <w:rPr>
          <w:rFonts w:ascii="Arial" w:cs="Arial" w:eastAsia="Arial" w:hAnsi="Arial"/>
          <w:sz w:val="18"/>
          <w:szCs w:val="18"/>
          <w:color w:val="auto"/>
        </w:rPr>
        <w:t>Very truly yours,</w:t>
      </w:r>
    </w:p>
    <w:p>
      <w:pPr>
        <w:spacing w:after="0" w:line="225"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As representative of the several underwriters</w:t>
      </w:r>
    </w:p>
    <w:p>
      <w:pPr>
        <w:spacing w:after="0" w:line="225" w:lineRule="exact"/>
        <w:rPr>
          <w:sz w:val="20"/>
          <w:szCs w:val="20"/>
          <w:color w:val="auto"/>
        </w:rPr>
      </w:pPr>
    </w:p>
    <w:p>
      <w:pPr>
        <w:ind w:left="4520"/>
        <w:spacing w:after="0" w:line="277" w:lineRule="auto"/>
        <w:rPr>
          <w:sz w:val="20"/>
          <w:szCs w:val="20"/>
          <w:color w:val="auto"/>
        </w:rPr>
      </w:pPr>
      <w:r>
        <w:rPr>
          <w:rFonts w:ascii="Arial" w:cs="Arial" w:eastAsia="Arial" w:hAnsi="Arial"/>
          <w:sz w:val="18"/>
          <w:szCs w:val="18"/>
          <w:color w:val="auto"/>
        </w:rPr>
        <w:t>CHINA INTERNATIONAL CAPITAL CORPORATION HONG KONG SECURITIES LIMITED</w:t>
      </w:r>
    </w:p>
    <w:p>
      <w:pPr>
        <w:spacing w:after="0" w:line="170"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8"/>
          <w:szCs w:val="18"/>
          <w:color w:val="auto"/>
        </w:rPr>
        <w:t>By:</w:t>
      </w:r>
      <w:r>
        <w:rPr>
          <w:sz w:val="20"/>
          <w:szCs w:val="20"/>
          <w:color w:val="auto"/>
        </w:rPr>
        <w:tab/>
      </w:r>
      <w:r>
        <w:rPr>
          <w:rFonts w:ascii="Arial" w:cs="Arial" w:eastAsia="Arial" w:hAnsi="Arial"/>
          <w:sz w:val="18"/>
          <w:szCs w:val="18"/>
          <w:color w:val="auto"/>
        </w:rPr>
        <w:t>/s/ Philip Ho</w:t>
      </w:r>
    </w:p>
    <w:p>
      <w:pPr>
        <w:spacing w:after="0" w:line="23"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Name: Philip Ho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3230880</wp:posOffset>
            </wp:positionH>
            <wp:positionV relativeFrom="paragraph">
              <wp:posOffset>-130810</wp:posOffset>
            </wp:positionV>
            <wp:extent cx="32588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258820" cy="8890"/>
                    </a:xfrm>
                    <a:prstGeom prst="rect">
                      <a:avLst/>
                    </a:prstGeom>
                    <a:noFill/>
                  </pic:spPr>
                </pic:pic>
              </a:graphicData>
            </a:graphic>
          </wp:anchor>
        </w:drawing>
      </w:r>
    </w:p>
    <w:p>
      <w:pPr>
        <w:spacing w:after="0" w:line="3"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8"/>
          <w:szCs w:val="18"/>
          <w:color w:val="auto"/>
        </w:rPr>
        <w:t>Title:</w:t>
        <w:tab/>
        <w:t>Executive Director</w:t>
      </w:r>
    </w:p>
    <w:p>
      <w:pPr>
        <w:spacing w:after="0" w:line="211" w:lineRule="exact"/>
        <w:rPr>
          <w:sz w:val="20"/>
          <w:szCs w:val="20"/>
          <w:color w:val="auto"/>
        </w:rPr>
      </w:pPr>
    </w:p>
    <w:p>
      <w:pPr>
        <w:ind w:left="2480"/>
        <w:spacing w:after="0"/>
        <w:rPr>
          <w:sz w:val="20"/>
          <w:szCs w:val="20"/>
          <w:color w:val="auto"/>
        </w:rPr>
      </w:pPr>
      <w:r>
        <w:rPr>
          <w:rFonts w:ascii="Arial" w:cs="Arial" w:eastAsia="Arial" w:hAnsi="Arial"/>
          <w:sz w:val="18"/>
          <w:szCs w:val="18"/>
          <w:color w:val="auto"/>
        </w:rPr>
        <w:t>[</w:t>
      </w:r>
      <w:r>
        <w:rPr>
          <w:rFonts w:ascii="Arial" w:cs="Arial" w:eastAsia="Arial" w:hAnsi="Arial"/>
          <w:sz w:val="18"/>
          <w:szCs w:val="18"/>
          <w:i w:val="1"/>
          <w:iCs w:val="1"/>
          <w:color w:val="auto"/>
        </w:rPr>
        <w:t>Signature Page to Underwriters’ Acceleration Request</w:t>
      </w:r>
      <w:r>
        <w:rPr>
          <w:rFonts w:ascii="Arial" w:cs="Arial" w:eastAsia="Arial" w:hAnsi="Arial"/>
          <w:sz w:val="18"/>
          <w:szCs w:val="18"/>
          <w:color w:val="auto"/>
        </w:rPr>
        <w:t xml:space="preserve">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-756285</wp:posOffset>
            </wp:positionH>
            <wp:positionV relativeFrom="paragraph">
              <wp:posOffset>443865</wp:posOffset>
            </wp:positionV>
            <wp:extent cx="72466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9800"/>
          </w:cols>
          <w:pgMar w:left="1440" w:top="908" w:right="659" w:bottom="1440" w:gutter="0" w:footer="0" w:header="0"/>
        </w:sectPr>
      </w:pPr>
    </w:p>
    <w:bookmarkStart w:id="2" w:name="page3"/>
    <w:bookmarkEnd w:id="2"/>
    <w:p>
      <w:pPr>
        <w:ind w:left="4520"/>
        <w:spacing w:after="0"/>
        <w:rPr>
          <w:sz w:val="20"/>
          <w:szCs w:val="20"/>
          <w:color w:val="auto"/>
        </w:rPr>
      </w:pPr>
      <w:r>
        <w:rPr>
          <w:rFonts w:ascii="Arial" w:cs="Arial" w:eastAsia="Arial" w:hAnsi="Arial"/>
          <w:sz w:val="18"/>
          <w:szCs w:val="18"/>
          <w:color w:val="auto"/>
        </w:rPr>
        <w:t>Very truly yours,</w:t>
      </w:r>
    </w:p>
    <w:p>
      <w:pPr>
        <w:spacing w:after="0" w:line="225" w:lineRule="exact"/>
        <w:rPr>
          <w:sz w:val="20"/>
          <w:szCs w:val="20"/>
          <w:color w:val="auto"/>
        </w:rPr>
      </w:pPr>
    </w:p>
    <w:p>
      <w:pPr>
        <w:ind w:left="4520"/>
        <w:spacing w:after="0"/>
        <w:rPr>
          <w:sz w:val="20"/>
          <w:szCs w:val="20"/>
          <w:color w:val="auto"/>
        </w:rPr>
      </w:pPr>
      <w:r>
        <w:rPr>
          <w:rFonts w:ascii="Arial" w:cs="Arial" w:eastAsia="Arial" w:hAnsi="Arial"/>
          <w:sz w:val="16"/>
          <w:szCs w:val="16"/>
          <w:color w:val="auto"/>
        </w:rPr>
        <w:t>As representative of the several underwriters</w:t>
      </w:r>
    </w:p>
    <w:p>
      <w:pPr>
        <w:spacing w:after="0" w:line="248"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CITIGROUP GLOBAL MARKETS INC.</w:t>
      </w:r>
    </w:p>
    <w:p>
      <w:pPr>
        <w:spacing w:after="0" w:line="225"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8"/>
          <w:szCs w:val="18"/>
          <w:color w:val="auto"/>
        </w:rPr>
        <w:t>By:</w:t>
      </w:r>
      <w:r>
        <w:rPr>
          <w:sz w:val="20"/>
          <w:szCs w:val="20"/>
          <w:color w:val="auto"/>
        </w:rPr>
        <w:tab/>
      </w:r>
      <w:r>
        <w:rPr>
          <w:rFonts w:ascii="Arial" w:cs="Arial" w:eastAsia="Arial" w:hAnsi="Arial"/>
          <w:sz w:val="18"/>
          <w:szCs w:val="18"/>
          <w:color w:val="auto"/>
        </w:rPr>
        <w:t>/s/ James Perry</w:t>
      </w:r>
    </w:p>
    <w:p>
      <w:pPr>
        <w:spacing w:after="0" w:line="23"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Name: James Perry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3230880</wp:posOffset>
            </wp:positionH>
            <wp:positionV relativeFrom="paragraph">
              <wp:posOffset>-130810</wp:posOffset>
            </wp:positionV>
            <wp:extent cx="32588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258820" cy="8890"/>
                    </a:xfrm>
                    <a:prstGeom prst="rect">
                      <a:avLst/>
                    </a:prstGeom>
                    <a:noFill/>
                  </pic:spPr>
                </pic:pic>
              </a:graphicData>
            </a:graphic>
          </wp:anchor>
        </w:drawing>
      </w:r>
    </w:p>
    <w:p>
      <w:pPr>
        <w:spacing w:after="0" w:line="3"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8"/>
          <w:szCs w:val="18"/>
          <w:color w:val="auto"/>
        </w:rPr>
        <w:t>Title:</w:t>
        <w:tab/>
        <w:t>Managing Director</w:t>
      </w:r>
    </w:p>
    <w:p>
      <w:pPr>
        <w:spacing w:after="0" w:line="211"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w:t>
      </w:r>
      <w:r>
        <w:rPr>
          <w:rFonts w:ascii="Arial" w:cs="Arial" w:eastAsia="Arial" w:hAnsi="Arial"/>
          <w:sz w:val="16"/>
          <w:szCs w:val="16"/>
          <w:i w:val="1"/>
          <w:iCs w:val="1"/>
          <w:color w:val="auto"/>
        </w:rPr>
        <w:t>Signature Page to Underwriters’ Acceleration Request</w:t>
      </w:r>
      <w:r>
        <w:rPr>
          <w:rFonts w:ascii="Arial" w:cs="Arial" w:eastAsia="Arial" w:hAnsi="Arial"/>
          <w:sz w:val="16"/>
          <w:szCs w:val="16"/>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-756285</wp:posOffset>
            </wp:positionH>
            <wp:positionV relativeFrom="paragraph">
              <wp:posOffset>458470</wp:posOffset>
            </wp:positionV>
            <wp:extent cx="72466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sectPr>
      <w:pgSz w:w="11900" w:h="16838" w:orient="portrait"/>
      <w:cols w:equalWidth="0" w:num="1">
        <w:col w:w="9019"/>
      </w:cols>
      <w:pgMar w:left="1440" w:top="908"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2019-12-08T18:05:56Z</dcterms:created>
  <dcterms:modified xsi:type="dcterms:W3CDTF">2019-12-08T18:05:56Z</dcterms:modified>
</cp:coreProperties>
</file>