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ind w:left="4740"/>
        <w:spacing w:after="0"/>
        <w:rPr>
          <w:sz w:val="20"/>
          <w:szCs w:val="20"/>
          <w:color w:val="auto"/>
        </w:rPr>
      </w:pPr>
      <w:r>
        <w:rPr>
          <w:rFonts w:ascii="Arial" w:cs="Arial" w:eastAsia="Arial" w:hAnsi="Arial"/>
          <w:sz w:val="36"/>
          <w:szCs w:val="36"/>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198755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February 2022</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497205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140"/>
        <w:spacing w:after="0"/>
        <w:rPr>
          <w:sz w:val="20"/>
          <w:szCs w:val="20"/>
          <w:color w:val="auto"/>
        </w:rPr>
      </w:pPr>
      <w:r>
        <w:rPr>
          <w:rFonts w:ascii="Arial" w:cs="Arial" w:eastAsia="Arial" w:hAnsi="Arial"/>
          <w:sz w:val="36"/>
          <w:szCs w:val="36"/>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198755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Vitaminveien 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0485 Oslo, Norway</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140"/>
        <w:spacing w:after="0" w:line="207" w:lineRule="exact"/>
        <w:tabs>
          <w:tab w:leader="none" w:pos="25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 w:name="page2"/>
    <w:bookmarkEnd w:id="1"/>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6"/>
            <w:szCs w:val="16"/>
            <w:u w:val="single" w:color="auto"/>
            <w:color w:val="0000EE"/>
          </w:rPr>
          <w:t>Press release -- Opera reports fourth quarter and full-year 2021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Opera Limited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-10160</wp:posOffset>
            </wp:positionV>
            <wp:extent cx="1440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Yahui Zhou</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Chairman of the Board and</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2022</w:t>
      </w:r>
    </w:p>
    <w:p>
      <w:pPr>
        <w:sectPr>
          <w:pgSz w:w="11900" w:h="16838" w:orient="portrait"/>
          <w:cols w:equalWidth="0" w:num="1">
            <w:col w:w="10920"/>
          </w:cols>
          <w:pgMar w:left="320" w:top="58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Opera reports fourth quarter and full-year 2021 Results</w:t>
      </w:r>
    </w:p>
    <w:p>
      <w:pPr>
        <w:spacing w:after="0" w:line="14" w:lineRule="exact"/>
        <w:rPr>
          <w:sz w:val="20"/>
          <w:szCs w:val="20"/>
          <w:color w:val="auto"/>
        </w:rPr>
      </w:pPr>
    </w:p>
    <w:p>
      <w:pPr>
        <w:ind w:left="3080"/>
        <w:spacing w:after="0"/>
        <w:rPr>
          <w:sz w:val="20"/>
          <w:szCs w:val="20"/>
          <w:color w:val="auto"/>
        </w:rPr>
      </w:pPr>
      <w:r>
        <w:rPr>
          <w:rFonts w:ascii="Arial" w:cs="Arial" w:eastAsia="Arial" w:hAnsi="Arial"/>
          <w:sz w:val="22"/>
          <w:szCs w:val="22"/>
          <w:i w:val="1"/>
          <w:iCs w:val="1"/>
          <w:color w:val="auto"/>
        </w:rPr>
        <w:t>Both revenue and adjusted EBITDA exceeded expectations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1"/>
          <w:szCs w:val="21"/>
          <w:i w:val="1"/>
          <w:iCs w:val="1"/>
          <w:color w:val="auto"/>
        </w:rPr>
        <w:t>Q4 revenue grew 45% year-over-year driven by strong product portfolio and growth in high ARPU markets</w:t>
      </w:r>
    </w:p>
    <w:p>
      <w:pPr>
        <w:spacing w:after="0" w:line="218" w:lineRule="exact"/>
        <w:rPr>
          <w:sz w:val="20"/>
          <w:szCs w:val="20"/>
          <w:color w:val="auto"/>
        </w:rPr>
      </w:pPr>
    </w:p>
    <w:p>
      <w:pPr>
        <w:ind w:left="3320"/>
        <w:spacing w:after="0"/>
        <w:rPr>
          <w:sz w:val="20"/>
          <w:szCs w:val="20"/>
          <w:color w:val="auto"/>
        </w:rPr>
      </w:pPr>
      <w:r>
        <w:rPr>
          <w:rFonts w:ascii="Arial" w:cs="Arial" w:eastAsia="Arial" w:hAnsi="Arial"/>
          <w:sz w:val="22"/>
          <w:szCs w:val="22"/>
          <w:i w:val="1"/>
          <w:iCs w:val="1"/>
          <w:color w:val="auto"/>
        </w:rPr>
        <w:t>Company announced a $50 million buyback program</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9"/>
          <w:szCs w:val="19"/>
          <w:i w:val="1"/>
          <w:iCs w:val="1"/>
          <w:color w:val="auto"/>
        </w:rPr>
        <w:t>Company issues 2022 guidance for revenue growth of 22% and adjusted EBITDA growth of 97% with a 18% margin at the</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midpoint</w:t>
      </w:r>
    </w:p>
    <w:p>
      <w:pPr>
        <w:spacing w:after="0" w:line="200" w:lineRule="exact"/>
        <w:rPr>
          <w:sz w:val="20"/>
          <w:szCs w:val="20"/>
          <w:color w:val="auto"/>
        </w:rPr>
      </w:pPr>
    </w:p>
    <w:p>
      <w:pPr>
        <w:spacing w:after="0" w:line="20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Oslo, Norway, February 17, 2022 </w:t>
      </w:r>
      <w:r>
        <w:rPr>
          <w:rFonts w:ascii="Arial" w:cs="Arial" w:eastAsia="Arial" w:hAnsi="Arial"/>
          <w:sz w:val="18"/>
          <w:szCs w:val="18"/>
          <w:color w:val="auto"/>
        </w:rPr>
        <w:t>– Opera Limited (NASDAQ: OPRA), one of the world’s largest internet consumer brands with hundreds of millions of</w:t>
      </w:r>
      <w:r>
        <w:rPr>
          <w:rFonts w:ascii="Arial" w:cs="Arial" w:eastAsia="Arial" w:hAnsi="Arial"/>
          <w:sz w:val="18"/>
          <w:szCs w:val="18"/>
          <w:b w:val="1"/>
          <w:bCs w:val="1"/>
          <w:color w:val="auto"/>
        </w:rPr>
        <w:t xml:space="preserve"> </w:t>
      </w:r>
      <w:r>
        <w:rPr>
          <w:rFonts w:ascii="Arial" w:cs="Arial" w:eastAsia="Arial" w:hAnsi="Arial"/>
          <w:sz w:val="18"/>
          <w:szCs w:val="18"/>
          <w:color w:val="auto"/>
        </w:rPr>
        <w:t>users worldwide, today announced its unaudited consolidated financial results for the quarter ended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and full year 2021 financial highlights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30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Three Months Ended December 31,</w:t>
            </w: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Year-over-</w:t>
            </w:r>
          </w:p>
        </w:tc>
        <w:tc>
          <w:tcPr>
            <w:tcW w:w="30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9"/>
              </w:rPr>
              <w:t>Twelve Months Ended December 31,</w:t>
            </w: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Year-over-</w:t>
            </w:r>
          </w:p>
        </w:tc>
      </w:tr>
      <w:tr>
        <w:trPr>
          <w:trHeight w:val="191"/>
        </w:trPr>
        <w:tc>
          <w:tcPr>
            <w:tcW w:w="2660" w:type="dxa"/>
            <w:vAlign w:val="bottom"/>
          </w:tcPr>
          <w:p>
            <w:pPr>
              <w:spacing w:after="0" w:line="191" w:lineRule="exact"/>
              <w:rPr>
                <w:sz w:val="20"/>
                <w:szCs w:val="20"/>
                <w:color w:val="auto"/>
              </w:rPr>
            </w:pPr>
            <w:r>
              <w:rPr>
                <w:rFonts w:ascii="Arial" w:cs="Arial" w:eastAsia="Arial" w:hAnsi="Arial"/>
                <w:sz w:val="18"/>
                <w:szCs w:val="18"/>
                <w:color w:val="auto"/>
              </w:rPr>
              <w:t>[US$ thousands, except for</w:t>
            </w:r>
          </w:p>
        </w:tc>
        <w:tc>
          <w:tcPr>
            <w:tcW w:w="16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year %</w:t>
            </w:r>
          </w:p>
        </w:tc>
        <w:tc>
          <w:tcPr>
            <w:tcW w:w="17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year %</w:t>
            </w:r>
          </w:p>
        </w:tc>
      </w:tr>
      <w:tr>
        <w:trPr>
          <w:trHeight w:val="234"/>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margins and per ADS amounts]</w:t>
            </w:r>
          </w:p>
        </w:tc>
        <w:tc>
          <w:tcPr>
            <w:tcW w:w="16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17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09"/>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50,229</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72,626</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44.6%</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165,056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250,991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2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28,527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(84,209)</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-395.2%</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179,174</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(15,784)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16"/>
        </w:trPr>
        <w:tc>
          <w:tcPr>
            <w:tcW w:w="2660" w:type="dxa"/>
            <w:vAlign w:val="bottom"/>
          </w:tcPr>
          <w:p>
            <w:pPr>
              <w:spacing w:after="0"/>
              <w:rPr>
                <w:sz w:val="20"/>
                <w:szCs w:val="20"/>
                <w:color w:val="auto"/>
              </w:rPr>
            </w:pPr>
            <w:r>
              <w:rPr>
                <w:rFonts w:ascii="Arial" w:cs="Arial" w:eastAsia="Arial" w:hAnsi="Arial"/>
                <w:sz w:val="18"/>
                <w:szCs w:val="18"/>
                <w:i w:val="1"/>
                <w:iCs w:val="1"/>
                <w:color w:val="auto"/>
              </w:rPr>
              <w:t>Margin</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56.8%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-115.9%</w:t>
            </w:r>
          </w:p>
        </w:tc>
        <w:tc>
          <w:tcPr>
            <w:tcW w:w="1300" w:type="dxa"/>
            <w:vAlign w:val="bottom"/>
          </w:tcPr>
          <w:p>
            <w:pPr>
              <w:spacing w:after="0"/>
              <w:rPr>
                <w:sz w:val="18"/>
                <w:szCs w:val="18"/>
                <w:color w:val="auto"/>
              </w:rPr>
            </w:pP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108.6%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18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line="216"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5"/>
                <w:szCs w:val="25"/>
                <w:color w:val="auto"/>
                <w:vertAlign w:val="superscript"/>
              </w:rPr>
              <w:t>(1)</w:t>
            </w: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14,052</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16,091</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24,969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27,850</w:t>
            </w: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Margin</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18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Adjusted net income (loss) </w:t>
            </w:r>
            <w:r>
              <w:rPr>
                <w:rFonts w:ascii="Arial" w:cs="Arial" w:eastAsia="Arial" w:hAnsi="Arial"/>
                <w:sz w:val="25"/>
                <w:szCs w:val="25"/>
                <w:color w:val="auto"/>
                <w:vertAlign w:val="superscript"/>
              </w:rPr>
              <w:t>(1)</w:t>
            </w: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45,298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(77,906)</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-272.0%</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62,876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5,661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r>
      <w:tr>
        <w:trPr>
          <w:trHeight w:val="216"/>
        </w:trPr>
        <w:tc>
          <w:tcPr>
            <w:tcW w:w="2660" w:type="dxa"/>
            <w:vAlign w:val="bottom"/>
          </w:tcPr>
          <w:p>
            <w:pPr>
              <w:spacing w:after="0"/>
              <w:rPr>
                <w:sz w:val="20"/>
                <w:szCs w:val="20"/>
                <w:color w:val="auto"/>
              </w:rPr>
            </w:pPr>
            <w:r>
              <w:rPr>
                <w:rFonts w:ascii="Arial" w:cs="Arial" w:eastAsia="Arial" w:hAnsi="Arial"/>
                <w:sz w:val="18"/>
                <w:szCs w:val="18"/>
                <w:i w:val="1"/>
                <w:iCs w:val="1"/>
                <w:color w:val="auto"/>
              </w:rPr>
              <w:t>Margin</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90.2%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-107.3%</w:t>
            </w:r>
          </w:p>
        </w:tc>
        <w:tc>
          <w:tcPr>
            <w:tcW w:w="1300" w:type="dxa"/>
            <w:vAlign w:val="bottom"/>
          </w:tcPr>
          <w:p>
            <w:pPr>
              <w:spacing w:after="0"/>
              <w:rPr>
                <w:sz w:val="18"/>
                <w:szCs w:val="18"/>
                <w:color w:val="auto"/>
              </w:rPr>
            </w:pP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38.1%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18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2"/>
        </w:trPr>
        <w:tc>
          <w:tcPr>
            <w:tcW w:w="2660" w:type="dxa"/>
            <w:vAlign w:val="bottom"/>
          </w:tcPr>
          <w:p>
            <w:pPr>
              <w:spacing w:after="0" w:line="201" w:lineRule="exact"/>
              <w:rPr>
                <w:sz w:val="20"/>
                <w:szCs w:val="20"/>
                <w:color w:val="auto"/>
              </w:rPr>
            </w:pPr>
            <w:r>
              <w:rPr>
                <w:rFonts w:ascii="Arial" w:cs="Arial" w:eastAsia="Arial" w:hAnsi="Arial"/>
                <w:sz w:val="18"/>
                <w:szCs w:val="18"/>
                <w:color w:val="auto"/>
              </w:rPr>
              <w:t>Diluted net income (loss) per</w:t>
            </w: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ADS, US$</w:t>
            </w: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0.25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(0.73)</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-395.5%</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1.51</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118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16"/>
        </w:trPr>
        <w:tc>
          <w:tcPr>
            <w:tcW w:w="2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2"/>
        </w:trPr>
        <w:tc>
          <w:tcPr>
            <w:tcW w:w="2660" w:type="dxa"/>
            <w:vAlign w:val="bottom"/>
          </w:tcPr>
          <w:p>
            <w:pPr>
              <w:spacing w:after="0" w:line="201" w:lineRule="exact"/>
              <w:rPr>
                <w:sz w:val="20"/>
                <w:szCs w:val="20"/>
                <w:color w:val="auto"/>
              </w:rPr>
            </w:pPr>
            <w:r>
              <w:rPr>
                <w:rFonts w:ascii="Arial" w:cs="Arial" w:eastAsia="Arial" w:hAnsi="Arial"/>
                <w:sz w:val="18"/>
                <w:szCs w:val="18"/>
                <w:color w:val="auto"/>
                <w:w w:val="97"/>
              </w:rPr>
              <w:t>Diluted adjusted net income (loss)</w:t>
            </w: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56"/>
        </w:trPr>
        <w:tc>
          <w:tcPr>
            <w:tcW w:w="2660" w:type="dxa"/>
            <w:vAlign w:val="bottom"/>
          </w:tcPr>
          <w:p>
            <w:pPr>
              <w:spacing w:after="0"/>
              <w:rPr>
                <w:sz w:val="20"/>
                <w:szCs w:val="20"/>
                <w:color w:val="auto"/>
              </w:rPr>
            </w:pPr>
            <w:r>
              <w:rPr>
                <w:rFonts w:ascii="Arial" w:cs="Arial" w:eastAsia="Arial" w:hAnsi="Arial"/>
                <w:sz w:val="18"/>
                <w:szCs w:val="18"/>
                <w:color w:val="auto"/>
              </w:rPr>
              <w:t xml:space="preserve">per ADS, US$ </w:t>
            </w:r>
            <w:r>
              <w:rPr>
                <w:rFonts w:ascii="Arial" w:cs="Arial" w:eastAsia="Arial" w:hAnsi="Arial"/>
                <w:sz w:val="26"/>
                <w:szCs w:val="26"/>
                <w:color w:val="auto"/>
                <w:vertAlign w:val="superscript"/>
              </w:rPr>
              <w:t>(1)</w:t>
            </w: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0.38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(0.68)</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-279.1%</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0.53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0.05</w:t>
            </w:r>
          </w:p>
        </w:tc>
        <w:tc>
          <w:tcPr>
            <w:tcW w:w="1180" w:type="dxa"/>
            <w:vAlign w:val="bottom"/>
          </w:tcPr>
          <w:p>
            <w:pPr>
              <w:jc w:val="right"/>
              <w:spacing w:after="0"/>
              <w:rPr>
                <w:sz w:val="20"/>
                <w:szCs w:val="20"/>
                <w:color w:val="auto"/>
              </w:rPr>
            </w:pPr>
            <w:r>
              <w:rPr>
                <w:rFonts w:ascii="Arial" w:cs="Arial" w:eastAsia="Arial" w:hAnsi="Arial"/>
                <w:sz w:val="18"/>
                <w:szCs w:val="18"/>
                <w:color w:val="auto"/>
              </w:rPr>
              <w:t>-90.8%</w:t>
            </w:r>
          </w:p>
        </w:tc>
      </w:tr>
    </w:tbl>
    <w:p>
      <w:pPr>
        <w:spacing w:after="0" w:line="7" w:lineRule="exact"/>
        <w:rPr>
          <w:sz w:val="20"/>
          <w:szCs w:val="20"/>
          <w:color w:val="auto"/>
        </w:rPr>
      </w:pPr>
    </w:p>
    <w:p>
      <w:pPr>
        <w:ind w:left="220" w:hanging="212"/>
        <w:spacing w:after="0"/>
        <w:tabs>
          <w:tab w:leader="none" w:pos="220" w:val="left"/>
        </w:tabs>
        <w:numPr>
          <w:ilvl w:val="0"/>
          <w:numId w:val="1"/>
        </w:numPr>
        <w:rPr>
          <w:rFonts w:ascii="Arial" w:cs="Arial" w:eastAsia="Arial" w:hAnsi="Arial"/>
          <w:sz w:val="26"/>
          <w:szCs w:val="26"/>
          <w:color w:val="auto"/>
          <w:vertAlign w:val="superscript"/>
        </w:rPr>
      </w:pPr>
      <w:r>
        <w:rPr>
          <w:rFonts w:ascii="Arial" w:cs="Arial" w:eastAsia="Arial" w:hAnsi="Arial"/>
          <w:sz w:val="16"/>
          <w:szCs w:val="16"/>
          <w:color w:val="auto"/>
        </w:rPr>
        <w:t>Please see the separate section "About non-IFRS financial measures" for the definitions of adjusted EBITDA and adjusted net income.</w:t>
      </w:r>
    </w:p>
    <w:p>
      <w:pPr>
        <w:spacing w:after="0" w:line="200" w:lineRule="exact"/>
        <w:rPr>
          <w:sz w:val="20"/>
          <w:szCs w:val="20"/>
          <w:color w:val="auto"/>
        </w:rPr>
      </w:pPr>
    </w:p>
    <w:p>
      <w:pPr>
        <w:spacing w:after="0" w:line="218"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“We’re very excited that both revenue and adjusted EBITDA came in ahead of expectations, closing out a very strong 2021”, said Co-CEO Song Lin. “Looking back, we can conclude that our investments in marketing to accelerate our growth trajectory and strengthen our position in higher-ARPU markets, and investments in our strong and growing product portfolio, have paid off.”</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“Even more encouragingly, as we look ahead, we have every expectation that we will continue a healthy growth trajectory from this elevated scale, with margins continuing to normalize.”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Fourth Quarter and Recent Business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Core search and advertising revenue growth rates grew 47% year-over-year in the fourth quarter, driven by strong browser and news performance.</w:t>
      </w:r>
    </w:p>
    <w:p>
      <w:pPr>
        <w:spacing w:after="0" w:line="46"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Opera’s average monthly active user base was 344 million MAUs in the quarter; with a continued directional shift towards higher ARPU markets. User growth was the strongest in the Americas, this time led by Latin America up 35% and North America up 22%, while we continue to focus investments in emerging markets more specifically towards users that are monetizable.</w:t>
      </w:r>
    </w:p>
    <w:p>
      <w:pPr>
        <w:spacing w:after="0" w:line="1"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fourth quarter, each user on average generated a record 83 cents of revenue on an annualized basis, up 11% sequentially, and up 62% compared to the fourth quarter of 2020.</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Opera GX gaming browser had over 14 million monthly active users across PC and mobile during the fourth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beta version of the Opera Web 3.0 browser was released as the newest addition to our family of browsers.</w:t>
      </w:r>
    </w:p>
    <w:p>
      <w:pPr>
        <w:spacing w:after="0" w:line="9" w:lineRule="exact"/>
        <w:rPr>
          <w:rFonts w:ascii="Arial" w:cs="Arial" w:eastAsia="Arial" w:hAnsi="Arial"/>
          <w:sz w:val="18"/>
          <w:szCs w:val="18"/>
          <w:color w:val="auto"/>
        </w:rPr>
      </w:pPr>
    </w:p>
    <w:p>
      <w:pPr>
        <w:ind w:left="660" w:right="8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equity-accounted investee Nanobank has experienced a prolonged period of inability to operate in India, and as a result we have impaired all assets and intangible values related to its Indian subsidiary, totaling $82.6 million and resulting in a negative net income for the year.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 announced a $50 million stock buyback program that is in effect for the next two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“We are very pleased that the strategy we have embarked on is already paying off,” said CFO Frode Jacobsen. “It is encouraging that our margins normalized faster than anticipated as our investments in the business have resulted in revenue growth ahead of plan.”</w:t>
      </w:r>
    </w:p>
    <w:p>
      <w:pPr>
        <w:spacing w:after="0" w:line="14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For the first quarter of 2022, Opera expects revenue of $67 million to $70 million, representing 33% year-over-year growth at the midpoint and reflecting normal seasonality, while benefiting from the additional scale we built throughout 2021. Adjusted EBITDA is expected to be between $4 million and $7 million.</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full year of 2022, Opera expects revenue of $300 million to $310 million, representing a 22% year-over-year increase at the midpoint. We expect adjusted EBITDA to be between $50 million and $60 million, or an 18% margin at the midpoint, versus 11% for 2021. Our 2022 results are expected to benefit from the continued growth of our products in Western markets as well as the continuation of underlying ARPU improvements across all of our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Other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Opera holds valuable investments in OPay (6.44%), StarMaker (19.35%), and Nanobank (42.35%).</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Nanobank, our equity-accounted investee which provides microlending services in several emerging markets, saw record activity in all of its active markets except for India. As we noted in our third quarter report, Nanobank’s Indian subsidiary became subject to inspection by the Ministry of Finance of India and now by its regulator, with particular focus on the fees paid for use of technology and platform infrastructure that is developed centrally by Nanobank for use across all of its operating markets. That process has taken months, and is still ongoing. Pending a resolution, a substantial portion of the funds of Nanobank’s Indian subsidiary have been subject to seizure, effectively halting its entire Indian operation. As a consequence of the prolonged situation and lack of clarity, Nanobank has recognized material provisions and impairments in the fourth quarter to bring the book value of its Indian subsidiary to zero; consequently we have impaired our investment in Nanobank to reflect the circumstances. That led to substantial non-cash losses in the quarter, partially offsetting the accounting gain associated with the creation of Nanobank in the third quarter of 2020. While we are taking an appropriate approach in our financial statements, Nanobank remains highly engaged to facilitate a return of operations.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2021 consolidated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comparisons in this section are relative to the fourth quarter of 2020 unless otherwise stated.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increased 45% to $72.6 million in the quarter.</w:t>
      </w:r>
    </w:p>
    <w:p>
      <w:pPr>
        <w:spacing w:after="0" w:line="2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Search revenue increased by 35% to $34.8 million driven by both PC and mobile browser monetization growth.</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Advertising revenue increased by 59% to $36.7 million, predominantly fueled by monetization growth within Opera News, our ad tech platform and our mobile browsers.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licensing and other revenue was $1.2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increased by 31% to $70.6 million.</w:t>
      </w:r>
    </w:p>
    <w:p>
      <w:pPr>
        <w:spacing w:after="0" w:line="27" w:lineRule="exact"/>
        <w:rPr>
          <w:sz w:val="20"/>
          <w:szCs w:val="20"/>
          <w:color w:val="auto"/>
        </w:rPr>
      </w:pPr>
    </w:p>
    <w:p>
      <w:pPr>
        <w:ind w:left="660" w:right="5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Combined technology and platform fees, content cost and cost of inventory sold was $5.5 million, a 150% increase following the scaling of associated revenues.</w:t>
      </w:r>
    </w:p>
    <w:p>
      <w:pPr>
        <w:ind w:left="660" w:right="1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Personnel expenses, including share-based remuneration, were $18.0 million, a 13% increase. This expense consists of cash-based compensation expense of $14.9 million, nearly flat year-over-year, and $3.1 million of share-based remuneration expense.</w:t>
      </w:r>
    </w:p>
    <w:p>
      <w:pPr>
        <w:ind w:left="660" w:right="8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Marketing and distribution expenses were $30.3 million, an increase of $18.0 million or 146% versus the fourth quarter of 2020, while representing a slight decline compared to the immediate prior quarters.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Depreciation and amortization expenses were $4.6 million, a 22% decrease as relevant asset bases declined over time.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of non financial assets of $6.4 million were mainly related to our decision to close our fintech office in Tallinn.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operating expenses were $5.7 million, a 16% decrease predominantly driven by reductions in credit loss expenses and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was $2.2 million compared to an operating profit of $2.4 million in the fourth quarter of 2020.</w:t>
      </w:r>
    </w:p>
    <w:p>
      <w:pPr>
        <w:spacing w:after="0" w:line="2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Other items </w:t>
      </w:r>
      <w:r>
        <w:rPr>
          <w:rFonts w:ascii="Arial" w:cs="Arial" w:eastAsia="Arial" w:hAnsi="Arial"/>
          <w:sz w:val="18"/>
          <w:szCs w:val="18"/>
          <w:color w:val="auto"/>
        </w:rPr>
        <w:t>in the quarter include a total impairment of $82.6 million related to the Indian subsidiary of Nanobank. $62.1 million of this amount is</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in a new line item called impairment of associates and joint ventures and the remaining $20.5 million is included as the main component in our share of net loss of associates and joint ventures.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color w:val="auto"/>
        </w:rPr>
        <w:t>expense was $2.4 million in the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was $84.2 million. This compared to a net income of $28.5 million in the fourth quarter of 2020.</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Net loss per ADS </w:t>
      </w:r>
      <w:r>
        <w:rPr>
          <w:rFonts w:ascii="Arial" w:cs="Arial" w:eastAsia="Arial" w:hAnsi="Arial"/>
          <w:sz w:val="18"/>
          <w:szCs w:val="18"/>
          <w:color w:val="auto"/>
        </w:rPr>
        <w:t>was $0.73 in the quarter. Each ADS represents two shares in Opera Limited. In the quarter, the average number of shares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was 230.3 million, corresponding to 115.1 million ADSs.</w:t>
      </w:r>
    </w:p>
    <w:p>
      <w:pPr>
        <w:spacing w:after="0" w:line="162"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was $16.1 million, representing a 22% adjusted EBITDA margin, compared to adjusted EBITDA of $14.1 million in the fourth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of 2020. Adjusted EBITDA excludes share-based remuneration and non-recurring expenses, as well as other income and discontinued operations.</w:t>
      </w:r>
    </w:p>
    <w:p>
      <w:pPr>
        <w:spacing w:after="0" w:line="116"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 xml:space="preserve">Adjusted net loss </w:t>
      </w:r>
      <w:r>
        <w:rPr>
          <w:rFonts w:ascii="Arial" w:cs="Arial" w:eastAsia="Arial" w:hAnsi="Arial"/>
          <w:sz w:val="16"/>
          <w:szCs w:val="16"/>
          <w:color w:val="auto"/>
        </w:rPr>
        <w:t>was $77.9 million in the quarter, compared to adjusted net income of $45.3 million in the fourth quarter of 2020. Adjusted net income</w:t>
      </w:r>
      <w:r>
        <w:rPr>
          <w:rFonts w:ascii="Arial" w:cs="Arial" w:eastAsia="Arial" w:hAnsi="Arial"/>
          <w:sz w:val="16"/>
          <w:szCs w:val="16"/>
          <w:b w:val="1"/>
          <w:bCs w:val="1"/>
          <w:color w:val="auto"/>
        </w:rPr>
        <w:t xml:space="preserve"> </w:t>
      </w:r>
      <w:r>
        <w:rPr>
          <w:rFonts w:ascii="Arial" w:cs="Arial" w:eastAsia="Arial" w:hAnsi="Arial"/>
          <w:sz w:val="16"/>
          <w:szCs w:val="16"/>
          <w:color w:val="auto"/>
        </w:rPr>
        <w:t>excludes share-based remuneration, non-recurring expenses, discontinued operations and amortization of intangible assets related to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net loss per ADS </w:t>
      </w:r>
      <w:r>
        <w:rPr>
          <w:rFonts w:ascii="Arial" w:cs="Arial" w:eastAsia="Arial" w:hAnsi="Arial"/>
          <w:sz w:val="18"/>
          <w:szCs w:val="18"/>
          <w:color w:val="auto"/>
        </w:rPr>
        <w:t>was $0.67 in the quarter.</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We have posted unaudited supplemental information at </w:t>
      </w:r>
      <w:r>
        <w:rPr>
          <w:rFonts w:ascii="Arial" w:cs="Arial" w:eastAsia="Arial" w:hAnsi="Arial"/>
          <w:sz w:val="18"/>
          <w:szCs w:val="18"/>
          <w:u w:val="single" w:color="auto"/>
          <w:color w:val="auto"/>
        </w:rPr>
        <w:t>https://investor.opera.com</w:t>
      </w:r>
      <w:r>
        <w:rPr>
          <w:rFonts w:ascii="Arial" w:cs="Arial" w:eastAsia="Arial" w:hAnsi="Arial"/>
          <w:sz w:val="18"/>
          <w:szCs w:val="18"/>
          <w:color w:val="auto"/>
        </w:rPr>
        <w:t>, including: 1) Opera’s financial historical results by quarter since 2019; and 2) Nanobank financial results by quarter since 2019 (pro forma prior to August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Opera’s management will host a conference call to discuss the fourth quarter 2021 financial results on Thursday, February 17th at 8:00 am Eastern Time (EST) (2:00 PM Central European Time, 9:00 PM Beijing/Hong Kong time). Listeners may access the call by dialing the following numbers: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United States: +1 877-895-3361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 +10-800-714-1507 or +10-800-140-1382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+80-090-1494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 +47 80-01-3780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 +44 (0) 808-101-1183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+1 785-424-1062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Confirmation Code: OPRAQ421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live webcast of the conference call will be posted at </w:t>
      </w:r>
      <w:r>
        <w:rPr>
          <w:rFonts w:ascii="Arial" w:cs="Arial" w:eastAsia="Arial" w:hAnsi="Arial"/>
          <w:sz w:val="18"/>
          <w:szCs w:val="18"/>
          <w:u w:val="single" w:color="auto"/>
          <w:color w:val="auto"/>
        </w:rPr>
        <w:t>https://investor.opera.com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be tweeting highlights from our prepared remarks. Please follow along @InvestorOpera.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non-IFRS financial measures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To supplement our consolidated financial statements, which are prepared and presented based on IFRS, we use adjusted EBITDA and adjusted net income, both non-IFRS financial measures, to understand and evaluate our core operating performance. These non-IFRS financial measures,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IFRS.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define adjusted EBITDA as net income (loss) excluding income tax expense (benefit), net finance expense (income), share of net loss (income) of associates and joint ventures, other loss (income) from long-term investments, impairments, depreciation and amortization, share-based remuneration, non-recurring expenses, and excluding other income and profit (loss) from discontinued operations.</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define adjusted net income as net income (loss) excluding share-based remuneration, amortization cost related to acquired intangible assets, amortization of Nanobank intangible assets, non-recurring expenses, and excluding profit (loss) from discontinued operations, adjusted for the associated tax benefit related to such items.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adjusted EBITDA and adjusted net income provide useful information to investors and others in understanding and evaluating our operating results. These non-IFRS financial measures adjust for the impact of items that we do not consider indicative of the operational performance of our business. While we believe that these non-IFRS financial measures are useful in evaluating our business, this information should be considered as supplemental in nature and is not meant as a substitute for the related financial information prepared and presented in accordance with IFRS. Please refer to our financial statements at the end of this announcement for a table reconciling our non-IFRS financial measures to net income (loss), the most directly comparable IFRS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00" w:lineRule="exact"/>
        <w:rPr>
          <w:sz w:val="20"/>
          <w:szCs w:val="20"/>
          <w:color w:val="auto"/>
        </w:rPr>
      </w:pPr>
    </w:p>
    <w:p>
      <w:pPr>
        <w:spacing w:after="0" w:line="24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statements of a forward-looking nature. These statements, including statements relating to the Company and its investees’ future financial and operating results, are made under the “safe harbor” provisions of the U.S. Private Securities Litigation Reform Act of 1995. You can identify these forward-looking statements by terminology such as “will,” “may,” “expect,” “believe,” “anticipate,” “intend,” “aim,” “estimate,” “intend,” “seek, ” “plan,” “potential,” “continue,” “ongoing,” “target,” “guidance,” “is/are likely to,” “future” and similar statements. Among other things, management’s quotations and the Business outlook section contain forward-looking statements. The Company may also make forward-looking statements in its periodic reports to the U.S. Securities and Exchange Commission (the “SEC”), in press releases and other written materials and in oral statements made by its officers, directors or employees to third parties. These forward-looking statements involve known and unknown risks and uncertainties and are based on current expectations, assumptions, estimates and projections about the Company, its investees, and the industry in which they operate. Potential risks and uncertainties include, but are not limited to, those relating to: the duration and development of the COVID-19 pandemic as well as changes in consumer behaviors as a result of such pandemic; the outcome of regulatory processes or litigation; the Company and its goals and strategies; expected development and launch, and market acceptance, of products and services; Company and its investees’ expectations regarding demand for and market acceptance of their brands, platforms and services; Company’s expectations regarding growth in its user base, user retention and level of engagement; Company’s ability to attract, retain and monetize users; Company’s ability to continue to develop new technologies, products and services and/or upgrade its existing technologies, products and services; quarterly variations in Company’s operating results caused by factors beyond its control; and global macroeconomic conditions and their potential impact in the markets in which Company or its investees have businesses. All information provided in this press release is as of the date hereof and is based on assumptions that the Company believes to be reasonable as of this date, and it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the Company’s filings with the SEC, including its annual reports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About Opera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Opera is a global web innovator. Opera’s browsers, news products and fintech solutions are the trusted choice of hundreds of millions of users worldwide.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Opera is headquartered in Oslo, Norway and listed on the NASDAQ stock exchange (OPRA). Download the Opera browser from www.opera.com.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Learn more about Opera at www.investor.opera.com or on Twitter @InvestorOpera.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Matthew Wolfson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investor-relations@opera.com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media enquiries, please contact: press-team@opera.com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540" w:type="dxa"/>
            <w:vAlign w:val="bottom"/>
            <w:gridSpan w:val="6"/>
          </w:tcPr>
          <w:p>
            <w:pPr>
              <w:ind w:left="3000"/>
              <w:spacing w:after="0"/>
              <w:rPr>
                <w:sz w:val="20"/>
                <w:szCs w:val="20"/>
                <w:color w:val="auto"/>
              </w:rPr>
            </w:pPr>
            <w:r>
              <w:rPr>
                <w:rFonts w:ascii="Arial" w:cs="Arial" w:eastAsia="Arial" w:hAnsi="Arial"/>
                <w:sz w:val="18"/>
                <w:szCs w:val="18"/>
                <w:b w:val="1"/>
                <w:bCs w:val="1"/>
                <w:color w:val="auto"/>
              </w:rPr>
              <w:t>UNAUDITED CONSOLIDATED STATEMENT OF OPERATIONS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7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Twelve Months Ended December</w:t>
            </w:r>
          </w:p>
        </w:tc>
        <w:tc>
          <w:tcPr>
            <w:tcW w:w="0" w:type="dxa"/>
            <w:vAlign w:val="bottom"/>
          </w:tcPr>
          <w:p>
            <w:pPr>
              <w:spacing w:after="0"/>
              <w:rPr>
                <w:sz w:val="1"/>
                <w:szCs w:val="1"/>
                <w:color w:val="auto"/>
              </w:rPr>
            </w:pPr>
          </w:p>
        </w:tc>
      </w:tr>
      <w:tr>
        <w:trPr>
          <w:trHeight w:val="234"/>
        </w:trPr>
        <w:tc>
          <w:tcPr>
            <w:tcW w:w="5700" w:type="dxa"/>
            <w:vAlign w:val="bottom"/>
            <w:vMerge w:val="restart"/>
          </w:tcPr>
          <w:p>
            <w:pPr>
              <w:spacing w:after="0"/>
              <w:rPr>
                <w:sz w:val="20"/>
                <w:szCs w:val="20"/>
                <w:color w:val="auto"/>
              </w:rPr>
            </w:pPr>
            <w:r>
              <w:rPr>
                <w:rFonts w:ascii="Arial" w:cs="Arial" w:eastAsia="Arial" w:hAnsi="Arial"/>
                <w:sz w:val="18"/>
                <w:szCs w:val="18"/>
                <w:color w:val="auto"/>
              </w:rPr>
              <w:t>[US$ thousands, except per share and ADS amounts]</w:t>
            </w:r>
          </w:p>
        </w:tc>
        <w:tc>
          <w:tcPr>
            <w:tcW w:w="100" w:type="dxa"/>
            <w:vAlign w:val="bottom"/>
            <w:vMerge w:val="restart"/>
          </w:tcPr>
          <w:p>
            <w:pPr>
              <w:spacing w:after="0"/>
              <w:rPr>
                <w:sz w:val="20"/>
                <w:szCs w:val="20"/>
                <w:color w:val="auto"/>
              </w:rPr>
            </w:pPr>
          </w:p>
        </w:tc>
        <w:tc>
          <w:tcPr>
            <w:tcW w:w="274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December 31,</w:t>
            </w:r>
          </w:p>
        </w:tc>
        <w:tc>
          <w:tcPr>
            <w:tcW w:w="16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31,</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50,229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72,626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165,056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250,991</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5,974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11,542</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Technology and platform fees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(941)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(1,297)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(3,315)</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Content cost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16"/>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Cost of inventory sold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(3,043)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Personnel expenses including share-based remuneration</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(15,782)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(18,043)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(62,103)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(74,825)</w:t>
            </w:r>
          </w:p>
        </w:tc>
        <w:tc>
          <w:tcPr>
            <w:tcW w:w="0" w:type="dxa"/>
            <w:vAlign w:val="bottom"/>
          </w:tcPr>
          <w:p>
            <w:pPr>
              <w:spacing w:after="0"/>
              <w:rPr>
                <w:sz w:val="1"/>
                <w:szCs w:val="1"/>
                <w:color w:val="auto"/>
              </w:rPr>
            </w:pPr>
          </w:p>
        </w:tc>
      </w:tr>
      <w:tr>
        <w:trPr>
          <w:trHeight w:val="216"/>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Marketing and distribution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(12,318)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(30,344)</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(47,860)</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(121,319)</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Credit loss expense</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Credit loss expense related to divested joint venture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(10,476)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(10,476)</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(20,234)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(19,600)</w:t>
            </w:r>
          </w:p>
        </w:tc>
        <w:tc>
          <w:tcPr>
            <w:tcW w:w="0" w:type="dxa"/>
            <w:vAlign w:val="bottom"/>
          </w:tcPr>
          <w:p>
            <w:pPr>
              <w:spacing w:after="0"/>
              <w:rPr>
                <w:sz w:val="1"/>
                <w:szCs w:val="1"/>
                <w:color w:val="auto"/>
              </w:rPr>
            </w:pPr>
          </w:p>
        </w:tc>
      </w:tr>
      <w:tr>
        <w:trPr>
          <w:trHeight w:val="216"/>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Impairment of non-financial assets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(6,414)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Non-recurring expenses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Other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(6,248)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(5,567)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(24,654)</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(22,802)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(53,843)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(70,634)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(179,046)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(259,208)</w:t>
            </w:r>
          </w:p>
        </w:tc>
        <w:tc>
          <w:tcPr>
            <w:tcW w:w="0" w:type="dxa"/>
            <w:vAlign w:val="bottom"/>
          </w:tcPr>
          <w:p>
            <w:pPr>
              <w:spacing w:after="0"/>
              <w:rPr>
                <w:sz w:val="1"/>
                <w:szCs w:val="1"/>
                <w:color w:val="auto"/>
              </w:rPr>
            </w:pPr>
          </w:p>
        </w:tc>
      </w:tr>
      <w:tr>
        <w:trPr>
          <w:trHeight w:val="20"/>
        </w:trPr>
        <w:tc>
          <w:tcPr>
            <w:tcW w:w="5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(loss)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2,360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2,240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(2,448)</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(7,751)</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net income (loss) of associates and joint ventures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(21,779)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(26,675)</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Fair value gain from associates and other long-term investments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4,733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24,000</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90,193</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associates and joint ventures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(62,089)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(62,089)</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Net finance income (expense):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Finance income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Finance expense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(3,853)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(6,912)</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foreign exchange gain (loss)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1,421</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0"/>
        </w:trPr>
        <w:tc>
          <w:tcPr>
            <w:tcW w:w="5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gridSpan w:val="2"/>
          </w:tcPr>
          <w:p>
            <w:pPr>
              <w:ind w:left="340"/>
              <w:spacing w:after="0"/>
              <w:rPr>
                <w:sz w:val="20"/>
                <w:szCs w:val="20"/>
                <w:color w:val="auto"/>
              </w:rPr>
            </w:pPr>
            <w:r>
              <w:rPr>
                <w:rFonts w:ascii="Arial" w:cs="Arial" w:eastAsia="Arial" w:hAnsi="Arial"/>
                <w:sz w:val="18"/>
                <w:szCs w:val="18"/>
                <w:b w:val="1"/>
                <w:bCs w:val="1"/>
                <w:color w:val="auto"/>
              </w:rPr>
              <w:t>Net finance income (expense)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6,557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(4,064)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13,950</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(8,603)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(loss) before income taxes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30,244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(80,959)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(14,925)</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558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(2,435)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(loss) from continuing operations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30,803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(83,394)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37,432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(14,968)</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Profit (loss) from discontinued operations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(2,276)</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141,742</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owners of the parent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28,527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(84,209)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179,174</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197"/>
        </w:trPr>
        <w:tc>
          <w:tcPr>
            <w:tcW w:w="5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 xml:space="preserve">Basic, millions </w:t>
            </w:r>
            <w:r>
              <w:rPr>
                <w:rFonts w:ascii="Arial" w:cs="Arial" w:eastAsia="Arial" w:hAnsi="Arial"/>
                <w:sz w:val="25"/>
                <w:szCs w:val="25"/>
                <w:color w:val="auto"/>
                <w:vertAlign w:val="superscript"/>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229.54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230.29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234.57</w:t>
            </w: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230.28</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Diluted, millions </w:t>
            </w:r>
            <w:r>
              <w:rPr>
                <w:rFonts w:ascii="Arial" w:cs="Arial" w:eastAsia="Arial" w:hAnsi="Arial"/>
                <w:sz w:val="25"/>
                <w:szCs w:val="25"/>
                <w:color w:val="auto"/>
                <w:vertAlign w:val="superscript"/>
              </w:rPr>
              <w:t>(2)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232.49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230.29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237.39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230.28</w:t>
            </w:r>
          </w:p>
        </w:tc>
        <w:tc>
          <w:tcPr>
            <w:tcW w:w="0" w:type="dxa"/>
            <w:vAlign w:val="bottom"/>
          </w:tcPr>
          <w:p>
            <w:pPr>
              <w:spacing w:after="0"/>
              <w:rPr>
                <w:sz w:val="1"/>
                <w:szCs w:val="1"/>
                <w:color w:val="auto"/>
              </w:rPr>
            </w:pPr>
          </w:p>
        </w:tc>
      </w:tr>
      <w:tr>
        <w:trPr>
          <w:trHeight w:val="198"/>
        </w:trPr>
        <w:tc>
          <w:tcPr>
            <w:tcW w:w="58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Earnings per ADS and per share for profit (loss) from continuing</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operations: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earnings per ADS, US$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Basic earnings per share, US$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 earnings per ADS, US$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Diluted earnings per share, US$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ADS and per share for net income (loss):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Basic earnings per ADS, US$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(0.73)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earnings per share, US$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Diluted earnings per ADS, US$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(0.73)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 earnings per share, US$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20" w:hanging="212"/>
        <w:spacing w:after="0"/>
        <w:tabs>
          <w:tab w:leader="none" w:pos="22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As of December 31, 2021, the total number of shares outstanding for Opera Limited was 230,291,732, equivalent to 115,145,866 ADSs.</w:t>
      </w:r>
    </w:p>
    <w:p>
      <w:pPr>
        <w:spacing w:after="0" w:line="201" w:lineRule="exact"/>
        <w:rPr>
          <w:rFonts w:ascii="Arial" w:cs="Arial" w:eastAsia="Arial" w:hAnsi="Arial"/>
          <w:sz w:val="26"/>
          <w:szCs w:val="26"/>
          <w:color w:val="auto"/>
          <w:vertAlign w:val="superscript"/>
        </w:rPr>
      </w:pPr>
    </w:p>
    <w:p>
      <w:pPr>
        <w:ind w:right="120" w:firstLine="8"/>
        <w:spacing w:after="0" w:line="232" w:lineRule="auto"/>
        <w:tabs>
          <w:tab w:leader="none" w:pos="220" w:val="left"/>
        </w:tabs>
        <w:numPr>
          <w:ilvl w:val="0"/>
          <w:numId w:val="5"/>
        </w:numPr>
        <w:rPr>
          <w:rFonts w:ascii="Arial" w:cs="Arial" w:eastAsia="Arial" w:hAnsi="Arial"/>
          <w:sz w:val="25"/>
          <w:szCs w:val="25"/>
          <w:color w:val="auto"/>
          <w:vertAlign w:val="superscript"/>
        </w:rPr>
      </w:pPr>
      <w:r>
        <w:rPr>
          <w:rFonts w:ascii="Arial" w:cs="Arial" w:eastAsia="Arial" w:hAnsi="Arial"/>
          <w:sz w:val="15"/>
          <w:szCs w:val="15"/>
          <w:color w:val="auto"/>
        </w:rPr>
        <w:t>Includes the net dilutive impact of employee equity awards. In 2021, including the fourth quarter, potential ordinary shares issuable upon the vesting of employee equity awards have an antidilutive impact on the amounts for diluted earnings per ADS and per share, and are thus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10120" w:type="dxa"/>
            <w:vAlign w:val="bottom"/>
            <w:gridSpan w:val="10"/>
          </w:tcPr>
          <w:p>
            <w:pPr>
              <w:ind w:left="2080"/>
              <w:spacing w:after="0"/>
              <w:rPr>
                <w:sz w:val="20"/>
                <w:szCs w:val="20"/>
                <w:color w:val="auto"/>
              </w:rPr>
            </w:pPr>
            <w:r>
              <w:rPr>
                <w:rFonts w:ascii="Arial" w:cs="Arial" w:eastAsia="Arial" w:hAnsi="Arial"/>
                <w:sz w:val="18"/>
                <w:szCs w:val="18"/>
                <w:b w:val="1"/>
                <w:bCs w:val="1"/>
                <w:color w:val="auto"/>
              </w:rPr>
              <w:t>UNAUDITED CONSOLIDATED STATEMENT OF COMPREHENSIVE INCOME (LOSS)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Three Months Ended December</w:t>
            </w:r>
          </w:p>
        </w:tc>
        <w:tc>
          <w:tcPr>
            <w:tcW w:w="276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Twelve Months Ended December</w:t>
            </w:r>
          </w:p>
        </w:tc>
        <w:tc>
          <w:tcPr>
            <w:tcW w:w="0" w:type="dxa"/>
            <w:vAlign w:val="bottom"/>
          </w:tcPr>
          <w:p>
            <w:pPr>
              <w:spacing w:after="0"/>
              <w:rPr>
                <w:sz w:val="1"/>
                <w:szCs w:val="1"/>
                <w:color w:val="auto"/>
              </w:rPr>
            </w:pPr>
          </w:p>
        </w:tc>
      </w:tr>
      <w:tr>
        <w:trPr>
          <w:trHeight w:val="234"/>
        </w:trPr>
        <w:tc>
          <w:tcPr>
            <w:tcW w:w="5580" w:type="dxa"/>
            <w:vAlign w:val="bottom"/>
            <w:vMerge w:val="restart"/>
          </w:tcPr>
          <w:p>
            <w:pPr>
              <w:spacing w:after="0"/>
              <w:rPr>
                <w:sz w:val="20"/>
                <w:szCs w:val="20"/>
                <w:color w:val="auto"/>
              </w:rPr>
            </w:pPr>
            <w:r>
              <w:rPr>
                <w:rFonts w:ascii="Arial" w:cs="Arial" w:eastAsia="Arial" w:hAnsi="Arial"/>
                <w:sz w:val="18"/>
                <w:szCs w:val="18"/>
                <w:color w:val="auto"/>
              </w:rPr>
              <w:t>[US$ thousands]</w:t>
            </w:r>
          </w:p>
        </w:tc>
        <w:tc>
          <w:tcPr>
            <w:tcW w:w="120" w:type="dxa"/>
            <w:vAlign w:val="bottom"/>
            <w:vMerge w:val="restart"/>
          </w:tcPr>
          <w:p>
            <w:pPr>
              <w:spacing w:after="0"/>
              <w:rPr>
                <w:sz w:val="20"/>
                <w:szCs w:val="20"/>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31,</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(84,209)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179,174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80" w:type="dxa"/>
            <w:vAlign w:val="bottom"/>
            <w:gridSpan w:val="5"/>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w w:val="97"/>
              </w:rPr>
              <w:t>Items that may be reclassified to the Statement of Operations in subsequent periods (net of</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tax):</w:t>
            </w: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340"/>
              <w:spacing w:after="0"/>
              <w:rPr>
                <w:sz w:val="20"/>
                <w:szCs w:val="20"/>
                <w:color w:val="auto"/>
              </w:rPr>
            </w:pPr>
            <w:r>
              <w:rPr>
                <w:rFonts w:ascii="Arial" w:cs="Arial" w:eastAsia="Arial" w:hAnsi="Arial"/>
                <w:sz w:val="18"/>
                <w:szCs w:val="18"/>
                <w:color w:val="auto"/>
              </w:rPr>
              <w:t>Exchange differences on translation of foreign operations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944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Reclassification of exchange differences on loss of control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9"/>
              </w:rPr>
              <w:t>Share of other comprehensive income (loss) of associates and joint</w:t>
            </w: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(935)</w:t>
            </w:r>
          </w:p>
        </w:tc>
        <w:tc>
          <w:tcPr>
            <w:tcW w:w="20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227</w:t>
            </w: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(935)</w:t>
            </w:r>
          </w:p>
        </w:tc>
        <w:tc>
          <w:tcPr>
            <w:tcW w:w="240" w:type="dxa"/>
            <w:vAlign w:val="bottom"/>
          </w:tcPr>
          <w:p>
            <w:pPr>
              <w:spacing w:after="0"/>
              <w:rPr>
                <w:sz w:val="17"/>
                <w:szCs w:val="17"/>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7"/>
        </w:trPr>
        <w:tc>
          <w:tcPr>
            <w:tcW w:w="5700" w:type="dxa"/>
            <w:vAlign w:val="bottom"/>
            <w:gridSpan w:val="2"/>
          </w:tcPr>
          <w:p>
            <w:pPr>
              <w:ind w:left="340"/>
              <w:spacing w:after="0"/>
              <w:rPr>
                <w:sz w:val="20"/>
                <w:szCs w:val="20"/>
                <w:color w:val="auto"/>
              </w:rPr>
            </w:pPr>
            <w:r>
              <w:rPr>
                <w:rFonts w:ascii="Arial" w:cs="Arial" w:eastAsia="Arial" w:hAnsi="Arial"/>
                <w:sz w:val="18"/>
                <w:szCs w:val="18"/>
                <w:color w:val="auto"/>
              </w:rPr>
              <w:t>ventures</w:t>
            </w:r>
          </w:p>
        </w:tc>
        <w:tc>
          <w:tcPr>
            <w:tcW w:w="13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Other comprehensive income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
        </w:trPr>
        <w:tc>
          <w:tcPr>
            <w:tcW w:w="5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w w:val="93"/>
              </w:rPr>
              <w:t>Total comprehensive income (loss) attributable to owners of the parent</w:t>
            </w:r>
          </w:p>
        </w:tc>
        <w:tc>
          <w:tcPr>
            <w:tcW w:w="1160" w:type="dxa"/>
            <w:vAlign w:val="bottom"/>
          </w:tcPr>
          <w:p>
            <w:pPr>
              <w:jc w:val="right"/>
              <w:spacing w:after="0"/>
              <w:rPr>
                <w:sz w:val="20"/>
                <w:szCs w:val="20"/>
                <w:color w:val="auto"/>
              </w:rPr>
            </w:pPr>
            <w:r>
              <w:rPr>
                <w:rFonts w:ascii="Arial" w:cs="Arial" w:eastAsia="Arial" w:hAnsi="Arial"/>
                <w:sz w:val="18"/>
                <w:szCs w:val="18"/>
                <w:color w:val="auto"/>
              </w:rPr>
              <w:t>31,473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(84,419)</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181,217</w:t>
            </w:r>
          </w:p>
        </w:tc>
        <w:tc>
          <w:tcPr>
            <w:tcW w:w="2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(16,711)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00" w:type="dxa"/>
            <w:vAlign w:val="bottom"/>
            <w:gridSpan w:val="4"/>
          </w:tcPr>
          <w:p>
            <w:pPr>
              <w:ind w:left="2620"/>
              <w:spacing w:after="0"/>
              <w:rPr>
                <w:sz w:val="20"/>
                <w:szCs w:val="20"/>
                <w:color w:val="auto"/>
              </w:rPr>
            </w:pPr>
            <w:r>
              <w:rPr>
                <w:rFonts w:ascii="Arial" w:cs="Arial" w:eastAsia="Arial" w:hAnsi="Arial"/>
                <w:sz w:val="18"/>
                <w:szCs w:val="18"/>
                <w:b w:val="1"/>
                <w:bCs w:val="1"/>
                <w:color w:val="auto"/>
              </w:rPr>
              <w:t>UNAUDITED CONSOLIDATED STATEMENT OF FINANCIAL POSITION</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00" w:type="dxa"/>
            <w:vAlign w:val="bottom"/>
            <w:vMerge w:val="restart"/>
          </w:tcPr>
          <w:p>
            <w:pPr>
              <w:spacing w:after="0"/>
              <w:rPr>
                <w:sz w:val="20"/>
                <w:szCs w:val="20"/>
                <w:color w:val="auto"/>
              </w:rPr>
            </w:pPr>
            <w:r>
              <w:rPr>
                <w:rFonts w:ascii="Arial" w:cs="Arial" w:eastAsia="Arial" w:hAnsi="Arial"/>
                <w:sz w:val="18"/>
                <w:szCs w:val="18"/>
                <w:color w:val="auto"/>
              </w:rPr>
              <w:t>[US$ thousands]</w:t>
            </w:r>
          </w:p>
        </w:tc>
        <w:tc>
          <w:tcPr>
            <w:tcW w:w="100" w:type="dxa"/>
            <w:vAlign w:val="bottom"/>
            <w:vMerge w:val="restart"/>
          </w:tcPr>
          <w:p>
            <w:pPr>
              <w:spacing w:after="0"/>
              <w:rPr>
                <w:sz w:val="24"/>
                <w:szCs w:val="24"/>
                <w:color w:val="auto"/>
              </w:rPr>
            </w:pPr>
          </w:p>
        </w:tc>
        <w:tc>
          <w:tcPr>
            <w:tcW w:w="354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1580" w:type="dxa"/>
            <w:vAlign w:val="bottom"/>
          </w:tcPr>
          <w:p>
            <w:pPr>
              <w:jc w:val="right"/>
              <w:spacing w:after="0"/>
              <w:rPr>
                <w:sz w:val="20"/>
                <w:szCs w:val="20"/>
                <w:color w:val="auto"/>
              </w:rPr>
            </w:pPr>
            <w:r>
              <w:rPr>
                <w:rFonts w:ascii="Arial" w:cs="Arial" w:eastAsia="Arial" w:hAnsi="Arial"/>
                <w:sz w:val="18"/>
                <w:szCs w:val="18"/>
                <w:color w:val="auto"/>
              </w:rPr>
              <w:t>18,167</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12,263</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111,954</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103,627</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1580" w:type="dxa"/>
            <w:vAlign w:val="bottom"/>
          </w:tcPr>
          <w:p>
            <w:pPr>
              <w:jc w:val="right"/>
              <w:spacing w:after="0"/>
              <w:rPr>
                <w:sz w:val="20"/>
                <w:szCs w:val="20"/>
                <w:color w:val="auto"/>
              </w:rPr>
            </w:pPr>
            <w:r>
              <w:rPr>
                <w:rFonts w:ascii="Arial" w:cs="Arial" w:eastAsia="Arial" w:hAnsi="Arial"/>
                <w:sz w:val="18"/>
                <w:szCs w:val="18"/>
                <w:color w:val="auto"/>
              </w:rPr>
              <w:t>424,961</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429,588</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in associates and joint ventures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364,946</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233,505</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Other long-term investments</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85,497</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Non-current receivables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Deferred tax assets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non-current assets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925,901</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868,784</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receivables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28,809</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43,864</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Other current receivables</w:t>
            </w:r>
          </w:p>
        </w:tc>
        <w:tc>
          <w:tcPr>
            <w:tcW w:w="1580" w:type="dxa"/>
            <w:vAlign w:val="bottom"/>
          </w:tcPr>
          <w:p>
            <w:pPr>
              <w:jc w:val="right"/>
              <w:spacing w:after="0"/>
              <w:rPr>
                <w:sz w:val="20"/>
                <w:szCs w:val="20"/>
                <w:color w:val="auto"/>
              </w:rPr>
            </w:pPr>
            <w:r>
              <w:rPr>
                <w:rFonts w:ascii="Arial" w:cs="Arial" w:eastAsia="Arial" w:hAnsi="Arial"/>
                <w:sz w:val="18"/>
                <w:szCs w:val="18"/>
                <w:color w:val="auto"/>
              </w:rPr>
              <w:t>11,674</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18,538</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Prepayments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9,192</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Marketable securities</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78,135</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134,168</w:t>
            </w:r>
          </w:p>
        </w:tc>
        <w:tc>
          <w:tcPr>
            <w:tcW w:w="2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gridSpan w:val="2"/>
          </w:tcPr>
          <w:p>
            <w:pPr>
              <w:ind w:left="340"/>
              <w:spacing w:after="0"/>
              <w:rPr>
                <w:sz w:val="20"/>
                <w:szCs w:val="20"/>
                <w:color w:val="auto"/>
              </w:rPr>
            </w:pPr>
            <w:r>
              <w:rPr>
                <w:rFonts w:ascii="Arial" w:cs="Arial" w:eastAsia="Arial" w:hAnsi="Arial"/>
                <w:sz w:val="18"/>
                <w:szCs w:val="18"/>
                <w:color w:val="auto"/>
              </w:rPr>
              <w:t>Total cash, cash equivalents, and marketable securities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134,168</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183,712</w:t>
            </w:r>
          </w:p>
        </w:tc>
        <w:tc>
          <w:tcPr>
            <w:tcW w:w="2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252,607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580" w:type="dxa"/>
            <w:vAlign w:val="bottom"/>
          </w:tcPr>
          <w:p>
            <w:pPr>
              <w:jc w:val="right"/>
              <w:spacing w:after="0"/>
              <w:rPr>
                <w:sz w:val="20"/>
                <w:szCs w:val="20"/>
                <w:color w:val="auto"/>
              </w:rPr>
            </w:pPr>
            <w:r>
              <w:rPr>
                <w:rFonts w:ascii="Arial" w:cs="Arial" w:eastAsia="Arial" w:hAnsi="Arial"/>
                <w:sz w:val="18"/>
                <w:szCs w:val="18"/>
                <w:color w:val="auto"/>
              </w:rPr>
              <w:t>1,109,612</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1,121,391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capital</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Other paid in capital</w:t>
            </w:r>
          </w:p>
        </w:tc>
        <w:tc>
          <w:tcPr>
            <w:tcW w:w="1580" w:type="dxa"/>
            <w:vAlign w:val="bottom"/>
          </w:tcPr>
          <w:p>
            <w:pPr>
              <w:jc w:val="right"/>
              <w:spacing w:after="0"/>
              <w:rPr>
                <w:sz w:val="20"/>
                <w:szCs w:val="20"/>
                <w:color w:val="auto"/>
              </w:rPr>
            </w:pPr>
            <w:r>
              <w:rPr>
                <w:rFonts w:ascii="Arial" w:cs="Arial" w:eastAsia="Arial" w:hAnsi="Arial"/>
                <w:sz w:val="18"/>
                <w:szCs w:val="18"/>
                <w:color w:val="auto"/>
              </w:rPr>
              <w:t>765,129</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764,381</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283,334</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277,335</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 reserve</w:t>
            </w:r>
          </w:p>
        </w:tc>
        <w:tc>
          <w:tcPr>
            <w:tcW w:w="1580" w:type="dxa"/>
            <w:vAlign w:val="bottom"/>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equity attributable to owners of the parent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1,048,895</w:t>
            </w:r>
          </w:p>
        </w:tc>
        <w:tc>
          <w:tcPr>
            <w:tcW w:w="2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1,041,220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Non-current lease liabilities and other loans</w:t>
            </w:r>
          </w:p>
        </w:tc>
        <w:tc>
          <w:tcPr>
            <w:tcW w:w="1580" w:type="dxa"/>
            <w:vAlign w:val="bottom"/>
          </w:tcPr>
          <w:p>
            <w:pPr>
              <w:jc w:val="right"/>
              <w:spacing w:after="0"/>
              <w:rPr>
                <w:sz w:val="20"/>
                <w:szCs w:val="20"/>
                <w:color w:val="auto"/>
              </w:rPr>
            </w:pPr>
            <w:r>
              <w:rPr>
                <w:rFonts w:ascii="Arial" w:cs="Arial" w:eastAsia="Arial" w:hAnsi="Arial"/>
                <w:sz w:val="18"/>
                <w:szCs w:val="18"/>
                <w:color w:val="auto"/>
              </w:rPr>
              <w:t>3,584</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11,745</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Other non-current liabilities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non-current liabilities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15,397</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and other payables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25,454</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38,753</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Current lease liabilities and other loans</w:t>
            </w:r>
          </w:p>
        </w:tc>
        <w:tc>
          <w:tcPr>
            <w:tcW w:w="1580" w:type="dxa"/>
            <w:vAlign w:val="bottom"/>
          </w:tcPr>
          <w:p>
            <w:pPr>
              <w:jc w:val="right"/>
              <w:spacing w:after="0"/>
              <w:rPr>
                <w:sz w:val="20"/>
                <w:szCs w:val="20"/>
                <w:color w:val="auto"/>
              </w:rPr>
            </w:pPr>
            <w:r>
              <w:rPr>
                <w:rFonts w:ascii="Arial" w:cs="Arial" w:eastAsia="Arial" w:hAnsi="Arial"/>
                <w:sz w:val="18"/>
                <w:szCs w:val="18"/>
                <w:color w:val="auto"/>
              </w:rPr>
              <w:t>5,389</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11,427</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payable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770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1580" w:type="dxa"/>
            <w:vAlign w:val="bottom"/>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13,040</w:t>
            </w:r>
          </w:p>
        </w:tc>
        <w:tc>
          <w:tcPr>
            <w:tcW w:w="2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45,320</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60,717</w:t>
            </w:r>
          </w:p>
        </w:tc>
        <w:tc>
          <w:tcPr>
            <w:tcW w:w="2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1580" w:type="dxa"/>
            <w:vAlign w:val="bottom"/>
          </w:tcPr>
          <w:p>
            <w:pPr>
              <w:jc w:val="right"/>
              <w:spacing w:after="0"/>
              <w:rPr>
                <w:sz w:val="20"/>
                <w:szCs w:val="20"/>
                <w:color w:val="auto"/>
              </w:rPr>
            </w:pPr>
            <w:r>
              <w:rPr>
                <w:rFonts w:ascii="Arial" w:cs="Arial" w:eastAsia="Arial" w:hAnsi="Arial"/>
                <w:sz w:val="18"/>
                <w:szCs w:val="18"/>
                <w:color w:val="auto"/>
              </w:rPr>
              <w:t>1,109,612</w:t>
            </w: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1,121,391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7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gridSpan w:val="9"/>
          </w:tcPr>
          <w:p>
            <w:pPr>
              <w:ind w:left="2580"/>
              <w:spacing w:after="0"/>
              <w:rPr>
                <w:sz w:val="20"/>
                <w:szCs w:val="20"/>
                <w:color w:val="auto"/>
              </w:rPr>
            </w:pPr>
            <w:r>
              <w:rPr>
                <w:rFonts w:ascii="Arial" w:cs="Arial" w:eastAsia="Arial" w:hAnsi="Arial"/>
                <w:sz w:val="18"/>
                <w:szCs w:val="18"/>
                <w:b w:val="1"/>
                <w:bCs w:val="1"/>
                <w:color w:val="auto"/>
              </w:rPr>
              <w:t>UNAUDITED CONSOLIDATED STATEMENT OF CHANGES IN EQUITY</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Foreign</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equity</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currency</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attributable to</w:t>
            </w: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Other paid in</w:t>
            </w:r>
          </w:p>
        </w:tc>
        <w:tc>
          <w:tcPr>
            <w:tcW w:w="1480" w:type="dxa"/>
            <w:vAlign w:val="bottom"/>
            <w:gridSpan w:val="3"/>
          </w:tcPr>
          <w:p>
            <w:pPr>
              <w:ind w:left="240"/>
              <w:spacing w:after="0"/>
              <w:rPr>
                <w:sz w:val="20"/>
                <w:szCs w:val="20"/>
                <w:color w:val="auto"/>
              </w:rPr>
            </w:pPr>
            <w:r>
              <w:rPr>
                <w:rFonts w:ascii="Arial" w:cs="Arial" w:eastAsia="Arial" w:hAnsi="Arial"/>
                <w:sz w:val="18"/>
                <w:szCs w:val="18"/>
                <w:b w:val="1"/>
                <w:bCs w:val="1"/>
                <w:color w:val="auto"/>
              </w:rPr>
              <w:t>Retained</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translation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owners of the</w:t>
            </w:r>
          </w:p>
        </w:tc>
      </w:tr>
      <w:tr>
        <w:trPr>
          <w:trHeight w:val="234"/>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thousands]</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Share capital</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earnings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reserve</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parent</w:t>
            </w:r>
          </w:p>
        </w:tc>
        <w:tc>
          <w:tcPr>
            <w:tcW w:w="120" w:type="dxa"/>
            <w:vAlign w:val="bottom"/>
          </w:tcPr>
          <w:p>
            <w:pPr>
              <w:spacing w:after="0"/>
              <w:rPr>
                <w:sz w:val="20"/>
                <w:szCs w:val="20"/>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814,177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99,513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912,206</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179,174</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179,174</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2,043</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2,043</w:t>
            </w:r>
          </w:p>
        </w:tc>
      </w:tr>
      <w:tr>
        <w:trPr>
          <w:trHeight w:val="20"/>
        </w:trPr>
        <w:tc>
          <w:tcPr>
            <w:tcW w:w="4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4280" w:type="dxa"/>
            <w:vAlign w:val="bottom"/>
          </w:tcPr>
          <w:p>
            <w:pPr>
              <w:ind w:left="340"/>
              <w:spacing w:after="0"/>
              <w:rPr>
                <w:sz w:val="20"/>
                <w:szCs w:val="20"/>
                <w:color w:val="auto"/>
              </w:rPr>
            </w:pPr>
            <w:r>
              <w:rPr>
                <w:rFonts w:ascii="Arial" w:cs="Arial" w:eastAsia="Arial" w:hAnsi="Arial"/>
                <w:sz w:val="18"/>
                <w:szCs w:val="18"/>
                <w:b w:val="1"/>
                <w:bCs w:val="1"/>
                <w:color w:val="auto"/>
              </w:rPr>
              <w:t>Total comprehensive income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179,174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2,043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181,217</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Reclassification of foreign currency translation reserve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Acquisition of treasury shares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(49,049)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(49,049)</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remuneration expense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4,521</w:t>
            </w:r>
          </w:p>
        </w:tc>
      </w:tr>
      <w:tr>
        <w:trPr>
          <w:trHeight w:val="20"/>
        </w:trPr>
        <w:tc>
          <w:tcPr>
            <w:tcW w:w="4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4280" w:type="dxa"/>
            <w:vAlign w:val="bottom"/>
          </w:tcPr>
          <w:p>
            <w:pPr>
              <w:spacing w:after="0"/>
              <w:rPr>
                <w:sz w:val="20"/>
                <w:szCs w:val="20"/>
                <w:color w:val="auto"/>
              </w:rPr>
            </w:pPr>
            <w:r>
              <w:rPr>
                <w:rFonts w:ascii="Arial" w:cs="Arial" w:eastAsia="Arial" w:hAnsi="Arial"/>
                <w:sz w:val="18"/>
                <w:szCs w:val="18"/>
                <w:b w:val="1"/>
                <w:bCs w:val="1"/>
                <w:color w:val="auto"/>
              </w:rPr>
              <w:t>As of December 31, 2020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765,129</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283,334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408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1,048,895</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(15,784)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(15,784)</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(928)</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2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comprehensive loss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(15,784)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(16,712)</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Acquisition of treasury shares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(749)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(749)</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remuneration expense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9,785</w:t>
            </w:r>
          </w:p>
        </w:tc>
      </w:tr>
      <w:tr>
        <w:trPr>
          <w:trHeight w:val="20"/>
        </w:trPr>
        <w:tc>
          <w:tcPr>
            <w:tcW w:w="4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764,381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277,336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1,041,220</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54"/>
        </w:trPr>
        <w:tc>
          <w:tcPr>
            <w:tcW w:w="4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7"/>
          </w:tcPr>
          <w:p>
            <w:pPr>
              <w:ind w:left="2940"/>
              <w:spacing w:after="0"/>
              <w:rPr>
                <w:sz w:val="20"/>
                <w:szCs w:val="20"/>
                <w:color w:val="auto"/>
              </w:rPr>
            </w:pPr>
            <w:r>
              <w:rPr>
                <w:rFonts w:ascii="Arial" w:cs="Arial" w:eastAsia="Arial" w:hAnsi="Arial"/>
                <w:sz w:val="18"/>
                <w:szCs w:val="18"/>
                <w:b w:val="1"/>
                <w:bCs w:val="1"/>
                <w:color w:val="auto"/>
              </w:rPr>
              <w:t>UNAUDITED CONSOLIDATED STATEMENT OF CASH FLOWS</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Three Months Ended December</w:t>
            </w:r>
          </w:p>
        </w:tc>
        <w:tc>
          <w:tcPr>
            <w:tcW w:w="27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Twelve Months Ended December</w:t>
            </w:r>
          </w:p>
        </w:tc>
        <w:tc>
          <w:tcPr>
            <w:tcW w:w="0" w:type="dxa"/>
            <w:vAlign w:val="bottom"/>
          </w:tcPr>
          <w:p>
            <w:pPr>
              <w:spacing w:after="0"/>
              <w:rPr>
                <w:sz w:val="1"/>
                <w:szCs w:val="1"/>
                <w:color w:val="auto"/>
              </w:rPr>
            </w:pPr>
          </w:p>
        </w:tc>
      </w:tr>
      <w:tr>
        <w:trPr>
          <w:trHeight w:val="234"/>
        </w:trPr>
        <w:tc>
          <w:tcPr>
            <w:tcW w:w="5620" w:type="dxa"/>
            <w:vAlign w:val="bottom"/>
            <w:vMerge w:val="restart"/>
          </w:tcPr>
          <w:p>
            <w:pPr>
              <w:spacing w:after="0"/>
              <w:rPr>
                <w:sz w:val="20"/>
                <w:szCs w:val="20"/>
                <w:color w:val="auto"/>
              </w:rPr>
            </w:pPr>
            <w:r>
              <w:rPr>
                <w:rFonts w:ascii="Arial" w:cs="Arial" w:eastAsia="Arial" w:hAnsi="Arial"/>
                <w:sz w:val="18"/>
                <w:szCs w:val="18"/>
                <w:color w:val="auto"/>
              </w:rPr>
              <w:t>[US$ thousands]</w:t>
            </w:r>
          </w:p>
        </w:tc>
        <w:tc>
          <w:tcPr>
            <w:tcW w:w="120" w:type="dxa"/>
            <w:vAlign w:val="bottom"/>
            <w:vMerge w:val="restart"/>
          </w:tcPr>
          <w:p>
            <w:pPr>
              <w:spacing w:after="0"/>
              <w:rPr>
                <w:sz w:val="20"/>
                <w:szCs w:val="20"/>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31,</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Profit (loss) before income taxes from continuing operations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28,996</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(80,959)</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37,507</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(14,925)</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Profit (loss) before income taxes from discontinued operations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139,792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i w:val="1"/>
                <w:iCs w:val="1"/>
                <w:color w:val="auto"/>
              </w:rPr>
              <w:t>Adjustments to reconcile profit before income taxes to net cash flows: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20,390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19,600</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40"/>
              <w:spacing w:after="0"/>
              <w:rPr>
                <w:sz w:val="20"/>
                <w:szCs w:val="20"/>
                <w:color w:val="auto"/>
              </w:rPr>
            </w:pPr>
            <w:r>
              <w:rPr>
                <w:rFonts w:ascii="Arial" w:cs="Arial" w:eastAsia="Arial" w:hAnsi="Arial"/>
                <w:sz w:val="18"/>
                <w:szCs w:val="18"/>
                <w:color w:val="auto"/>
              </w:rPr>
              <w:t>Impairment of non-financial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6,414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 of net loss (income) of associates and joint ventures</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21,779</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26,675</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40"/>
              <w:spacing w:after="0"/>
              <w:rPr>
                <w:sz w:val="20"/>
                <w:szCs w:val="20"/>
                <w:color w:val="auto"/>
              </w:rPr>
            </w:pPr>
            <w:r>
              <w:rPr>
                <w:rFonts w:ascii="Arial" w:cs="Arial" w:eastAsia="Arial" w:hAnsi="Arial"/>
                <w:sz w:val="18"/>
                <w:szCs w:val="18"/>
                <w:color w:val="auto"/>
              </w:rPr>
              <w:t>Fair value gain from associates and other long-term investments</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(18,000)</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(4,733)</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(24,000)</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(90,193)</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Impairment of associates and joint ventures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62,089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62,089</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40"/>
              <w:spacing w:after="0"/>
              <w:rPr>
                <w:sz w:val="20"/>
                <w:szCs w:val="20"/>
                <w:color w:val="auto"/>
              </w:rPr>
            </w:pPr>
            <w:r>
              <w:rPr>
                <w:rFonts w:ascii="Arial" w:cs="Arial" w:eastAsia="Arial" w:hAnsi="Arial"/>
                <w:sz w:val="18"/>
                <w:szCs w:val="18"/>
                <w:color w:val="auto"/>
              </w:rPr>
              <w:t>Equity component of share-based payment expense</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886</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3,672</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4,521</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9,785</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disposal of emerging market fintech operations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(151,368)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40"/>
              <w:spacing w:after="0"/>
              <w:rPr>
                <w:sz w:val="20"/>
                <w:szCs w:val="20"/>
                <w:color w:val="auto"/>
              </w:rPr>
            </w:pPr>
            <w:r>
              <w:rPr>
                <w:rFonts w:ascii="Arial" w:cs="Arial" w:eastAsia="Arial" w:hAnsi="Arial"/>
                <w:sz w:val="18"/>
                <w:szCs w:val="18"/>
                <w:color w:val="auto"/>
              </w:rPr>
              <w:t>Impact of divestment of joint venture</w:t>
            </w:r>
          </w:p>
        </w:tc>
        <w:tc>
          <w:tcPr>
            <w:tcW w:w="1160" w:type="dxa"/>
            <w:vAlign w:val="bottom"/>
          </w:tcPr>
          <w:p>
            <w:pPr>
              <w:jc w:val="right"/>
              <w:spacing w:after="0"/>
              <w:rPr>
                <w:sz w:val="20"/>
                <w:szCs w:val="20"/>
                <w:color w:val="auto"/>
              </w:rPr>
            </w:pPr>
            <w:r>
              <w:rPr>
                <w:rFonts w:ascii="Arial" w:cs="Arial" w:eastAsia="Arial" w:hAnsi="Arial"/>
                <w:sz w:val="18"/>
                <w:szCs w:val="18"/>
                <w:color w:val="auto"/>
              </w:rPr>
              <w:t>1,834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1,834</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finance income (expense)</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4,064</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(11,980)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8,603</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40"/>
              <w:spacing w:after="0"/>
              <w:rPr>
                <w:sz w:val="20"/>
                <w:szCs w:val="20"/>
                <w:color w:val="auto"/>
              </w:rPr>
            </w:pPr>
            <w:r>
              <w:rPr>
                <w:rFonts w:ascii="Arial" w:cs="Arial" w:eastAsia="Arial" w:hAnsi="Arial"/>
                <w:sz w:val="18"/>
                <w:szCs w:val="18"/>
                <w:color w:val="auto"/>
              </w:rPr>
              <w:t>Other adjustments</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(2,971)</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(715)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(1,466)</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Changes in working capital:</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340"/>
              <w:spacing w:after="0"/>
              <w:rPr>
                <w:sz w:val="20"/>
                <w:szCs w:val="20"/>
                <w:color w:val="auto"/>
              </w:rPr>
            </w:pPr>
            <w:r>
              <w:rPr>
                <w:rFonts w:ascii="Arial" w:cs="Arial" w:eastAsia="Arial" w:hAnsi="Arial"/>
                <w:sz w:val="18"/>
                <w:szCs w:val="18"/>
                <w:color w:val="auto"/>
              </w:rPr>
              <w:t>Change in inventories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7,752</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trade and other receivables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22,101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(7,383)</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40"/>
              <w:spacing w:after="0"/>
              <w:rPr>
                <w:sz w:val="20"/>
                <w:szCs w:val="20"/>
                <w:color w:val="auto"/>
              </w:rPr>
            </w:pPr>
            <w:r>
              <w:rPr>
                <w:rFonts w:ascii="Arial" w:cs="Arial" w:eastAsia="Arial" w:hAnsi="Arial"/>
                <w:sz w:val="18"/>
                <w:szCs w:val="18"/>
                <w:color w:val="auto"/>
              </w:rPr>
              <w:t>Change in loans to customers</w:t>
            </w:r>
          </w:p>
        </w:tc>
        <w:tc>
          <w:tcPr>
            <w:tcW w:w="1160" w:type="dxa"/>
            <w:vAlign w:val="bottom"/>
          </w:tcPr>
          <w:p>
            <w:pPr>
              <w:jc w:val="right"/>
              <w:spacing w:after="0"/>
              <w:rPr>
                <w:sz w:val="20"/>
                <w:szCs w:val="20"/>
                <w:color w:val="auto"/>
              </w:rPr>
            </w:pPr>
            <w:r>
              <w:rPr>
                <w:rFonts w:ascii="Arial" w:cs="Arial" w:eastAsia="Arial" w:hAnsi="Arial"/>
                <w:sz w:val="18"/>
                <w:szCs w:val="18"/>
                <w:color w:val="auto"/>
              </w:rPr>
              <w:t>1,631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75,064</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trade and other payables</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2,162</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(25,135)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40"/>
              <w:spacing w:after="0"/>
              <w:rPr>
                <w:sz w:val="20"/>
                <w:szCs w:val="20"/>
                <w:color w:val="auto"/>
              </w:rPr>
            </w:pPr>
            <w:r>
              <w:rPr>
                <w:rFonts w:ascii="Arial" w:cs="Arial" w:eastAsia="Arial" w:hAnsi="Arial"/>
                <w:sz w:val="18"/>
                <w:szCs w:val="18"/>
                <w:color w:val="auto"/>
              </w:rPr>
              <w:t>Change in deferred revenue</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(2,404)</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prepayments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12,032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5740" w:type="dxa"/>
            <w:vAlign w:val="bottom"/>
            <w:gridSpan w:val="2"/>
          </w:tcPr>
          <w:p>
            <w:pPr>
              <w:ind w:left="340"/>
              <w:spacing w:after="0"/>
              <w:rPr>
                <w:sz w:val="20"/>
                <w:szCs w:val="20"/>
                <w:color w:val="auto"/>
              </w:rPr>
            </w:pPr>
            <w:r>
              <w:rPr>
                <w:rFonts w:ascii="Arial" w:cs="Arial" w:eastAsia="Arial" w:hAnsi="Arial"/>
                <w:sz w:val="18"/>
                <w:szCs w:val="18"/>
                <w:color w:val="auto"/>
              </w:rPr>
              <w:t>Change in other liabilities</w:t>
            </w:r>
          </w:p>
        </w:tc>
        <w:tc>
          <w:tcPr>
            <w:tcW w:w="1160" w:type="dxa"/>
            <w:vAlign w:val="bottom"/>
          </w:tcPr>
          <w:p>
            <w:pPr>
              <w:jc w:val="right"/>
              <w:spacing w:after="0"/>
              <w:rPr>
                <w:sz w:val="20"/>
                <w:szCs w:val="20"/>
                <w:color w:val="auto"/>
              </w:rPr>
            </w:pPr>
            <w:r>
              <w:rPr>
                <w:rFonts w:ascii="Arial" w:cs="Arial" w:eastAsia="Arial" w:hAnsi="Arial"/>
                <w:sz w:val="18"/>
                <w:szCs w:val="18"/>
                <w:color w:val="auto"/>
              </w:rPr>
              <w:t>4,037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776</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(1,482)</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paid</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(4,112)</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(9,887)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tcPr>
          <w:p>
            <w:pPr>
              <w:ind w:left="500"/>
              <w:spacing w:after="0"/>
              <w:rPr>
                <w:sz w:val="20"/>
                <w:szCs w:val="20"/>
                <w:color w:val="auto"/>
              </w:rPr>
            </w:pPr>
            <w:r>
              <w:rPr>
                <w:rFonts w:ascii="Arial" w:cs="Arial" w:eastAsia="Arial" w:hAnsi="Arial"/>
                <w:sz w:val="18"/>
                <w:szCs w:val="18"/>
                <w:b w:val="1"/>
                <w:bCs w:val="1"/>
                <w:color w:val="auto"/>
              </w:rPr>
              <w:t>Net cash flow from (used in) operating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17,487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16,473</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93,324</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26,564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investment activities: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Purchase of intangibles assets</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(2,286)</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of equipment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Acquisition of subsidiary, net of cash acquired</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(4,882)</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(9,008)</w:t>
            </w:r>
          </w:p>
        </w:tc>
        <w:tc>
          <w:tcPr>
            <w:tcW w:w="0" w:type="dxa"/>
            <w:vAlign w:val="bottom"/>
          </w:tcPr>
          <w:p>
            <w:pPr>
              <w:spacing w:after="0"/>
              <w:rPr>
                <w:sz w:val="1"/>
                <w:szCs w:val="1"/>
                <w:color w:val="auto"/>
              </w:rPr>
            </w:pPr>
          </w:p>
        </w:tc>
      </w:tr>
      <w:tr>
        <w:trPr>
          <w:trHeight w:val="202"/>
        </w:trPr>
        <w:tc>
          <w:tcPr>
            <w:tcW w:w="57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Cash transferred upon loss of control over emerging market fintech</w:t>
            </w: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(39,260)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Release of escrow account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Deposit of collateral for subsidiaries' loan facility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Disbursement of short-term loans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(6,332)</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 of short-term loans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Investment in, and loans to associates and joint ventures</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sale (purchase) of listed equity instruments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61,624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58,535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(84,835)</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Proceeds from sale of shares in associate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 received</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Development expenditure</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(1,476)</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(6,553)</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Net cash flow from (used in) investing activities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(49,703)</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 of treasury shares</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(8,194)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(49,049)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Proceeds from loans and borrowings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6,905</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Interests on loans and borrowings</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5740" w:type="dxa"/>
            <w:vAlign w:val="bottom"/>
            <w:gridSpan w:val="2"/>
          </w:tcPr>
          <w:p>
            <w:pPr>
              <w:ind w:left="180"/>
              <w:spacing w:after="0"/>
              <w:rPr>
                <w:sz w:val="20"/>
                <w:szCs w:val="20"/>
                <w:color w:val="auto"/>
              </w:rPr>
            </w:pPr>
            <w:r>
              <w:rPr>
                <w:rFonts w:ascii="Arial" w:cs="Arial" w:eastAsia="Arial" w:hAnsi="Arial"/>
                <w:sz w:val="18"/>
                <w:szCs w:val="18"/>
                <w:color w:val="auto"/>
              </w:rPr>
              <w:t>Repayment of loans and borrowings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(52,874)</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of lease liabilities</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(1,334)</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tcPr>
          <w:p>
            <w:pPr>
              <w:ind w:left="340"/>
              <w:spacing w:after="0"/>
              <w:rPr>
                <w:sz w:val="20"/>
                <w:szCs w:val="20"/>
                <w:color w:val="auto"/>
              </w:rPr>
            </w:pPr>
            <w:r>
              <w:rPr>
                <w:rFonts w:ascii="Arial" w:cs="Arial" w:eastAsia="Arial" w:hAnsi="Arial"/>
                <w:sz w:val="18"/>
                <w:szCs w:val="18"/>
                <w:b w:val="1"/>
                <w:bCs w:val="1"/>
                <w:color w:val="auto"/>
              </w:rPr>
              <w:t>Net cash flow from (used in) financing activities</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(8,390)</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(1,495)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(100,972)</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(6,683)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13,441</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(29,822)</w:t>
            </w: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64,416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89,964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139,487</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134,168</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foreign exchange difference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134,168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102,876</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134,168</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102,876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Financial details by business area</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20" w:type="dxa"/>
            <w:vAlign w:val="bottom"/>
            <w:gridSpan w:val="2"/>
          </w:tcPr>
          <w:p>
            <w:pPr>
              <w:spacing w:after="0"/>
              <w:rPr>
                <w:sz w:val="20"/>
                <w:szCs w:val="20"/>
                <w:color w:val="auto"/>
              </w:rPr>
            </w:pPr>
            <w:r>
              <w:rPr>
                <w:rFonts w:ascii="Arial" w:cs="Arial" w:eastAsia="Arial" w:hAnsi="Arial"/>
                <w:sz w:val="18"/>
                <w:szCs w:val="18"/>
                <w:color w:val="auto"/>
              </w:rPr>
              <w:t>The tables below specify the contribution by each business area:</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632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4920" w:type="dxa"/>
            <w:vAlign w:val="bottom"/>
            <w:gridSpan w:val="8"/>
          </w:tcPr>
          <w:p>
            <w:pPr>
              <w:jc w:val="right"/>
              <w:ind w:right="960"/>
              <w:spacing w:after="0"/>
              <w:rPr>
                <w:sz w:val="20"/>
                <w:szCs w:val="20"/>
                <w:color w:val="auto"/>
              </w:rPr>
            </w:pPr>
            <w:r>
              <w:rPr>
                <w:rFonts w:ascii="Arial" w:cs="Arial" w:eastAsia="Arial" w:hAnsi="Arial"/>
                <w:sz w:val="18"/>
                <w:szCs w:val="18"/>
                <w:b w:val="1"/>
                <w:bCs w:val="1"/>
                <w:color w:val="auto"/>
              </w:rPr>
              <w:t>Three Months Ended December 31, 2020</w:t>
            </w:r>
          </w:p>
        </w:tc>
      </w:tr>
      <w:tr>
        <w:trPr>
          <w:trHeight w:val="209"/>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area</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Browser and News</w:t>
            </w:r>
          </w:p>
        </w:tc>
        <w:tc>
          <w:tcPr>
            <w:tcW w:w="240" w:type="dxa"/>
            <w:vAlign w:val="bottom"/>
            <w:tcBorders>
              <w:top w:val="single" w:sz="8" w:color="auto"/>
            </w:tcBorders>
            <w:gridSpan w:val="2"/>
          </w:tcPr>
          <w:p>
            <w:pPr>
              <w:spacing w:after="0"/>
              <w:rPr>
                <w:sz w:val="18"/>
                <w:szCs w:val="18"/>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95"/>
              </w:rPr>
              <w:t>Other</w:t>
            </w:r>
          </w:p>
        </w:tc>
        <w:tc>
          <w:tcPr>
            <w:tcW w:w="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Search</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25,653</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25,653</w:t>
            </w: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23,083</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23,083</w:t>
            </w: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Technology licensing and other revenue</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1,492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r>
      <w:tr>
        <w:trPr>
          <w:trHeight w:val="209"/>
        </w:trPr>
        <w:tc>
          <w:tcPr>
            <w:tcW w:w="63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48,736</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 and platform fees</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(941)</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w:t>
            </w: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Content cost</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(842)</w:t>
            </w:r>
          </w:p>
        </w:tc>
        <w:tc>
          <w:tcPr>
            <w:tcW w:w="9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(842)</w:t>
            </w: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inventory sold</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r>
      <w:tr>
        <w:trPr>
          <w:trHeight w:val="216"/>
        </w:trPr>
        <w:tc>
          <w:tcPr>
            <w:tcW w:w="632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 xml:space="preserve">Other cost of revenue </w:t>
            </w:r>
            <w:r>
              <w:rPr>
                <w:rFonts w:ascii="Arial" w:cs="Arial" w:eastAsia="Arial" w:hAnsi="Arial"/>
                <w:sz w:val="25"/>
                <w:szCs w:val="25"/>
                <w:color w:val="auto"/>
                <w:vertAlign w:val="superscript"/>
              </w:rPr>
              <w:t>(1)</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(42)</w:t>
            </w:r>
          </w:p>
        </w:tc>
        <w:tc>
          <w:tcPr>
            <w:tcW w:w="9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(516)</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(558)</w:t>
            </w: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Marketing and distribution expenses</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(12,068)</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(12,318)</w:t>
            </w: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Credit loss expense</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(494)</w:t>
            </w:r>
          </w:p>
        </w:tc>
        <w:tc>
          <w:tcPr>
            <w:tcW w:w="9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(494)</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direct expenses</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(14,387)</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(1,197)</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(15,584)</w:t>
            </w:r>
          </w:p>
        </w:tc>
      </w:tr>
      <w:tr>
        <w:trPr>
          <w:trHeight w:val="209"/>
        </w:trPr>
        <w:tc>
          <w:tcPr>
            <w:tcW w:w="63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Contribution by business area</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34,349</w:t>
            </w: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34,645</w:t>
            </w:r>
          </w:p>
        </w:tc>
        <w:tc>
          <w:tcPr>
            <w:tcW w:w="100" w:type="dxa"/>
            <w:vAlign w:val="bottom"/>
            <w:tcBorders>
              <w:top w:val="single" w:sz="8" w:color="CCEEFF"/>
            </w:tcBorders>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8"/>
        <w:spacing w:after="0" w:line="232" w:lineRule="auto"/>
        <w:tabs>
          <w:tab w:leader="none" w:pos="212"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Includes expenses presented separately in the Statement of Operations as part of personnel and other expenses, including audit, legal and other advisory services, that were included in the cost invoiced certain customers.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4920" w:type="dxa"/>
            <w:vAlign w:val="bottom"/>
            <w:gridSpan w:val="7"/>
          </w:tcPr>
          <w:p>
            <w:pPr>
              <w:jc w:val="right"/>
              <w:ind w:right="960"/>
              <w:spacing w:after="0"/>
              <w:rPr>
                <w:sz w:val="20"/>
                <w:szCs w:val="20"/>
                <w:color w:val="auto"/>
              </w:rPr>
            </w:pPr>
            <w:r>
              <w:rPr>
                <w:rFonts w:ascii="Arial" w:cs="Arial" w:eastAsia="Arial" w:hAnsi="Arial"/>
                <w:sz w:val="18"/>
                <w:szCs w:val="18"/>
                <w:b w:val="1"/>
                <w:bCs w:val="1"/>
                <w:color w:val="auto"/>
              </w:rPr>
              <w:t>Three Months Ended December 31, 2021</w:t>
            </w:r>
          </w:p>
        </w:tc>
      </w:tr>
      <w:tr>
        <w:trPr>
          <w:trHeight w:val="209"/>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area</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Browser and News</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95"/>
              </w:rPr>
              <w:t>Other</w:t>
            </w:r>
          </w:p>
        </w:tc>
        <w:tc>
          <w:tcPr>
            <w:tcW w:w="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Search</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34,751</w:t>
            </w:r>
          </w:p>
        </w:tc>
        <w:tc>
          <w:tcPr>
            <w:tcW w:w="9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34,751</w:t>
            </w: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37,309</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36,666</w:t>
            </w: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Technology licensing and other revenue</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2,182</w:t>
            </w:r>
          </w:p>
        </w:tc>
        <w:tc>
          <w:tcPr>
            <w:tcW w:w="9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(972)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1,210</w:t>
            </w:r>
          </w:p>
        </w:tc>
      </w:tr>
      <w:tr>
        <w:trPr>
          <w:trHeight w:val="209"/>
        </w:trPr>
        <w:tc>
          <w:tcPr>
            <w:tcW w:w="63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74,242</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(1,615)</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 and platform fees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(1,264)</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w:t>
            </w: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Content cost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(1,222)</w:t>
            </w:r>
          </w:p>
        </w:tc>
        <w:tc>
          <w:tcPr>
            <w:tcW w:w="9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(1,200)</w:t>
            </w: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inventory sold</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(3,488)</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(3,043)</w:t>
            </w: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Marketing and distribution expenses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(30,519)</w:t>
            </w:r>
          </w:p>
        </w:tc>
        <w:tc>
          <w:tcPr>
            <w:tcW w:w="9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(30,344)</w:t>
            </w: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Credit loss expense</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r>
      <w:tr>
        <w:trPr>
          <w:trHeight w:val="20"/>
        </w:trPr>
        <w:tc>
          <w:tcPr>
            <w:tcW w:w="6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direct expenses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(36,701)</w:t>
            </w:r>
          </w:p>
        </w:tc>
        <w:tc>
          <w:tcPr>
            <w:tcW w:w="9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646</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(36,055)</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Contribution by business area</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37,541</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(969)</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36,572</w:t>
            </w:r>
          </w:p>
        </w:tc>
      </w:tr>
      <w:tr>
        <w:trPr>
          <w:trHeight w:val="582"/>
        </w:trPr>
        <w:tc>
          <w:tcPr>
            <w:tcW w:w="6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4920" w:type="dxa"/>
            <w:vAlign w:val="bottom"/>
            <w:gridSpan w:val="8"/>
          </w:tcPr>
          <w:p>
            <w:pPr>
              <w:jc w:val="right"/>
              <w:ind w:right="920"/>
              <w:spacing w:after="0"/>
              <w:rPr>
                <w:sz w:val="20"/>
                <w:szCs w:val="20"/>
                <w:color w:val="auto"/>
              </w:rPr>
            </w:pPr>
            <w:r>
              <w:rPr>
                <w:rFonts w:ascii="Arial" w:cs="Arial" w:eastAsia="Arial" w:hAnsi="Arial"/>
                <w:sz w:val="18"/>
                <w:szCs w:val="18"/>
                <w:b w:val="1"/>
                <w:bCs w:val="1"/>
                <w:color w:val="auto"/>
              </w:rPr>
              <w:t>Twelve Months Ended December 31, 2020</w:t>
            </w:r>
          </w:p>
        </w:tc>
      </w:tr>
      <w:tr>
        <w:trPr>
          <w:trHeight w:val="209"/>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area</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Browser and News</w:t>
            </w:r>
          </w:p>
        </w:tc>
        <w:tc>
          <w:tcPr>
            <w:tcW w:w="240" w:type="dxa"/>
            <w:vAlign w:val="bottom"/>
            <w:tcBorders>
              <w:top w:val="single" w:sz="8" w:color="auto"/>
            </w:tcBorders>
            <w:gridSpan w:val="2"/>
          </w:tcPr>
          <w:p>
            <w:pPr>
              <w:spacing w:after="0"/>
              <w:rPr>
                <w:sz w:val="18"/>
                <w:szCs w:val="18"/>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95"/>
              </w:rPr>
              <w:t>Other</w:t>
            </w:r>
          </w:p>
        </w:tc>
        <w:tc>
          <w:tcPr>
            <w:tcW w:w="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Search</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84,180</w:t>
            </w:r>
          </w:p>
        </w:tc>
        <w:tc>
          <w:tcPr>
            <w:tcW w:w="9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84,180</w:t>
            </w: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71,292</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71,508</w:t>
            </w: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Technology licensing and other revenue</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9,368</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9,368</w:t>
            </w:r>
          </w:p>
        </w:tc>
      </w:tr>
      <w:tr>
        <w:trPr>
          <w:trHeight w:val="209"/>
        </w:trPr>
        <w:tc>
          <w:tcPr>
            <w:tcW w:w="63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155,472</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 and platform fees</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(3,315)</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(3,315)</w:t>
            </w: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Content cost</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(4,312)</w:t>
            </w:r>
          </w:p>
        </w:tc>
        <w:tc>
          <w:tcPr>
            <w:tcW w:w="9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(4,312)</w:t>
            </w: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inventory sold</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Other cost of revenue</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140</w:t>
            </w:r>
          </w:p>
        </w:tc>
        <w:tc>
          <w:tcPr>
            <w:tcW w:w="9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(3,925)</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(3,785)</w:t>
            </w: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Marketing and distribution expenses</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(47,042)</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(47,860)</w:t>
            </w: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Credit loss expense</w:t>
            </w:r>
          </w:p>
        </w:tc>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(568)</w:t>
            </w:r>
          </w:p>
        </w:tc>
        <w:tc>
          <w:tcPr>
            <w:tcW w:w="9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(1,281)</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(1,849)</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direct expenses</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(55,098)</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(6,724)</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(61,822)</w:t>
            </w:r>
          </w:p>
        </w:tc>
      </w:tr>
      <w:tr>
        <w:trPr>
          <w:trHeight w:val="209"/>
        </w:trPr>
        <w:tc>
          <w:tcPr>
            <w:tcW w:w="63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Contribution by business area</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100,374</w:t>
            </w: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103,234</w:t>
            </w:r>
          </w:p>
        </w:tc>
        <w:tc>
          <w:tcPr>
            <w:tcW w:w="100" w:type="dxa"/>
            <w:vAlign w:val="bottom"/>
            <w:tcBorders>
              <w:top w:val="single" w:sz="8" w:color="CCEEFF"/>
            </w:tcBorders>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492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Twelve Months Ended December 31, 2021</w:t>
            </w:r>
          </w:p>
        </w:tc>
      </w:tr>
      <w:tr>
        <w:trPr>
          <w:trHeight w:val="209"/>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 area</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Browser and News</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95"/>
              </w:rPr>
              <w:t>Other</w:t>
            </w:r>
          </w:p>
        </w:tc>
        <w:tc>
          <w:tcPr>
            <w:tcW w:w="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categories: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Search</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121,961</w:t>
            </w:r>
          </w:p>
        </w:tc>
        <w:tc>
          <w:tcPr>
            <w:tcW w:w="9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121,961</w:t>
            </w: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123,870</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123,910</w:t>
            </w: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Technology licensing and other revenue</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2,182</w:t>
            </w:r>
          </w:p>
        </w:tc>
        <w:tc>
          <w:tcPr>
            <w:tcW w:w="9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2,937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5,120</w:t>
            </w:r>
          </w:p>
        </w:tc>
      </w:tr>
      <w:tr>
        <w:trPr>
          <w:trHeight w:val="209"/>
        </w:trPr>
        <w:tc>
          <w:tcPr>
            <w:tcW w:w="63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248,013</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 and platform fees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(3,899)</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(4,472)</w:t>
            </w: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Content cost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(3,712)</w:t>
            </w:r>
          </w:p>
        </w:tc>
        <w:tc>
          <w:tcPr>
            <w:tcW w:w="9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(3,712)</w:t>
            </w: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inventory sold</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(5,506)</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(5,507)</w:t>
            </w: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Marketing and distribution expenses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(120,760)</w:t>
            </w:r>
          </w:p>
        </w:tc>
        <w:tc>
          <w:tcPr>
            <w:tcW w:w="9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(559)</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(121,319)</w:t>
            </w: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Credit loss expense</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(557)</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r>
      <w:tr>
        <w:trPr>
          <w:trHeight w:val="20"/>
        </w:trPr>
        <w:tc>
          <w:tcPr>
            <w:tcW w:w="6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direct expenses</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(134,434)</w:t>
            </w:r>
          </w:p>
        </w:tc>
        <w:tc>
          <w:tcPr>
            <w:tcW w:w="9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(1,132)</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(135,566)</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Contribution by business area</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113,579</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1,846</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115,425</w:t>
            </w:r>
          </w:p>
        </w:tc>
      </w:tr>
      <w:tr>
        <w:trPr>
          <w:trHeight w:val="555"/>
        </w:trPr>
        <w:tc>
          <w:tcPr>
            <w:tcW w:w="6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Personnel expenses including share-based remuneration</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440" w:type="dxa"/>
            <w:vAlign w:val="bottom"/>
            <w:gridSpan w:val="5"/>
          </w:tcPr>
          <w:p>
            <w:pPr>
              <w:spacing w:after="0"/>
              <w:rPr>
                <w:sz w:val="20"/>
                <w:szCs w:val="20"/>
                <w:color w:val="auto"/>
              </w:rPr>
            </w:pPr>
            <w:r>
              <w:rPr>
                <w:rFonts w:ascii="Arial" w:cs="Arial" w:eastAsia="Arial" w:hAnsi="Arial"/>
                <w:sz w:val="18"/>
                <w:szCs w:val="18"/>
                <w:color w:val="auto"/>
                <w:w w:val="93"/>
              </w:rPr>
              <w:t>The table below specifies the amounts of personnel expenses including share-based remuneration:</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1"/>
        </w:trPr>
        <w:tc>
          <w:tcPr>
            <w:tcW w:w="5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Three Months Ended December</w:t>
            </w:r>
          </w:p>
        </w:tc>
        <w:tc>
          <w:tcPr>
            <w:tcW w:w="264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Twelve Months Ended</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[US$ thousands]</w:t>
            </w:r>
          </w:p>
        </w:tc>
        <w:tc>
          <w:tcPr>
            <w:tcW w:w="166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31,</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4"/>
          </w:tcPr>
          <w:p>
            <w:pPr>
              <w:ind w:left="7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Personnel expenses including share-based remuneration</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 excluding share-based remuneration</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14,790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57,397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64,772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Share-based remuneration, including related social security costs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3,130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4,706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10,053</w:t>
            </w:r>
          </w:p>
        </w:tc>
      </w:tr>
      <w:tr>
        <w:trPr>
          <w:trHeight w:val="20"/>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15,782</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18,043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62,103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74,825</w:t>
            </w:r>
          </w:p>
        </w:tc>
      </w:tr>
      <w:tr>
        <w:trPr>
          <w:trHeight w:val="554"/>
        </w:trPr>
        <w:tc>
          <w:tcPr>
            <w:tcW w:w="57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Other expenses</w:t>
            </w: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4460" w:type="dxa"/>
            <w:vAlign w:val="bottom"/>
            <w:gridSpan w:val="2"/>
          </w:tcPr>
          <w:p>
            <w:pPr>
              <w:spacing w:after="0"/>
              <w:rPr>
                <w:sz w:val="20"/>
                <w:szCs w:val="20"/>
                <w:color w:val="auto"/>
              </w:rPr>
            </w:pPr>
            <w:r>
              <w:rPr>
                <w:rFonts w:ascii="Arial" w:cs="Arial" w:eastAsia="Arial" w:hAnsi="Arial"/>
                <w:sz w:val="18"/>
                <w:szCs w:val="18"/>
                <w:color w:val="auto"/>
              </w:rPr>
              <w:t>The table below specifies the nature of other expenses:</w:t>
            </w: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9"/>
        </w:trPr>
        <w:tc>
          <w:tcPr>
            <w:tcW w:w="446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342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w w:val="97"/>
              </w:rPr>
              <w:t>Three Months Ended December 31,</w:t>
            </w:r>
          </w:p>
        </w:tc>
        <w:tc>
          <w:tcPr>
            <w:tcW w:w="3360" w:type="dxa"/>
            <w:vAlign w:val="bottom"/>
            <w:gridSpan w:val="4"/>
          </w:tcPr>
          <w:p>
            <w:pPr>
              <w:ind w:left="200"/>
              <w:spacing w:after="0"/>
              <w:rPr>
                <w:sz w:val="20"/>
                <w:szCs w:val="20"/>
                <w:color w:val="auto"/>
              </w:rPr>
            </w:pPr>
            <w:r>
              <w:rPr>
                <w:rFonts w:ascii="Arial" w:cs="Arial" w:eastAsia="Arial" w:hAnsi="Arial"/>
                <w:sz w:val="18"/>
                <w:szCs w:val="18"/>
                <w:b w:val="1"/>
                <w:bCs w:val="1"/>
                <w:color w:val="auto"/>
              </w:rPr>
              <w:t>Twelve Months Ended December 31,</w:t>
            </w:r>
          </w:p>
        </w:tc>
      </w:tr>
      <w:tr>
        <w:trPr>
          <w:trHeight w:val="209"/>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expenses</w:t>
            </w:r>
          </w:p>
        </w:tc>
        <w:tc>
          <w:tcPr>
            <w:tcW w:w="14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r>
      <w:tr>
        <w:trPr>
          <w:trHeight w:val="209"/>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Hosting</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2,114</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1,933</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8,056</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7,647</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Audit, legal and other advisory services</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1,828</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1,351</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7,265</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6,579</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license fees</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1,782</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Rent and other office expense</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1,016</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786</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3,318</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3,152</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1,304</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jc w:val="right"/>
              <w:spacing w:after="0"/>
              <w:rPr>
                <w:sz w:val="20"/>
                <w:szCs w:val="20"/>
                <w:color w:val="auto"/>
              </w:rPr>
            </w:pPr>
            <w:r>
              <w:rPr>
                <w:rFonts w:ascii="Arial" w:cs="Arial" w:eastAsia="Arial" w:hAnsi="Arial"/>
                <w:sz w:val="18"/>
                <w:szCs w:val="18"/>
                <w:color w:val="auto"/>
              </w:rPr>
              <w:t>649</w:t>
            </w:r>
          </w:p>
        </w:tc>
        <w:tc>
          <w:tcPr>
            <w:tcW w:w="26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822</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2,827</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3,101</w:t>
            </w:r>
          </w:p>
        </w:tc>
      </w:tr>
      <w:tr>
        <w:trPr>
          <w:trHeight w:val="20"/>
        </w:trPr>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2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5,567</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24,654</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22,802</w:t>
            </w:r>
          </w:p>
        </w:tc>
      </w:tr>
      <w:tr>
        <w:trPr>
          <w:trHeight w:val="554"/>
        </w:trPr>
        <w:tc>
          <w:tcPr>
            <w:tcW w:w="43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Non-IFRS financial measures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1"/>
              </w:rPr>
              <w:t>Three Months Ended December</w:t>
            </w:r>
          </w:p>
        </w:tc>
        <w:tc>
          <w:tcPr>
            <w:tcW w:w="2540" w:type="dxa"/>
            <w:vAlign w:val="bottom"/>
            <w:gridSpan w:val="4"/>
          </w:tcPr>
          <w:p>
            <w:pPr>
              <w:ind w:left="36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34"/>
        </w:trPr>
        <w:tc>
          <w:tcPr>
            <w:tcW w:w="5860" w:type="dxa"/>
            <w:vAlign w:val="bottom"/>
            <w:gridSpan w:val="3"/>
            <w:vMerge w:val="restart"/>
          </w:tcPr>
          <w:p>
            <w:pPr>
              <w:spacing w:after="0"/>
              <w:rPr>
                <w:sz w:val="20"/>
                <w:szCs w:val="20"/>
                <w:color w:val="auto"/>
              </w:rPr>
            </w:pPr>
            <w:r>
              <w:rPr>
                <w:rFonts w:ascii="Arial" w:cs="Arial" w:eastAsia="Arial" w:hAnsi="Arial"/>
                <w:sz w:val="18"/>
                <w:szCs w:val="18"/>
                <w:color w:val="auto"/>
              </w:rPr>
              <w:t>[US$ thousands, except per share and ADS amounts]</w:t>
            </w:r>
          </w:p>
        </w:tc>
        <w:tc>
          <w:tcPr>
            <w:tcW w:w="120" w:type="dxa"/>
            <w:vAlign w:val="bottom"/>
            <w:vMerge w:val="restart"/>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auto"/>
            </w:tcBorders>
            <w:gridSpan w:val="3"/>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98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color w:val="auto"/>
              </w:rPr>
              <w:t>Reconciliation of net income (loss) to adjusted EBITDA:</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1860" w:type="dxa"/>
            <w:vAlign w:val="bottom"/>
            <w:tcBorders>
              <w:top w:val="single" w:sz="8" w:color="CCEEFF"/>
            </w:tcBorders>
            <w:gridSpan w:val="3"/>
          </w:tcPr>
          <w:p>
            <w:pPr>
              <w:spacing w:after="0"/>
              <w:rPr>
                <w:sz w:val="18"/>
                <w:szCs w:val="18"/>
                <w:color w:val="auto"/>
              </w:rPr>
            </w:pPr>
          </w:p>
        </w:tc>
        <w:tc>
          <w:tcPr>
            <w:tcW w:w="13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28,527</w:t>
            </w:r>
          </w:p>
        </w:tc>
        <w:tc>
          <w:tcPr>
            <w:tcW w:w="13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(84,209)</w:t>
            </w:r>
          </w:p>
        </w:tc>
        <w:tc>
          <w:tcPr>
            <w:tcW w:w="13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179,174</w:t>
            </w:r>
          </w:p>
        </w:tc>
        <w:tc>
          <w:tcPr>
            <w:tcW w:w="12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 Income tax expense (benefit)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980" w:type="dxa"/>
            <w:vAlign w:val="bottom"/>
            <w:gridSpan w:val="4"/>
          </w:tcPr>
          <w:p>
            <w:pPr>
              <w:ind w:left="180"/>
              <w:spacing w:after="0"/>
              <w:rPr>
                <w:sz w:val="20"/>
                <w:szCs w:val="20"/>
                <w:color w:val="auto"/>
              </w:rPr>
            </w:pPr>
            <w:r>
              <w:rPr>
                <w:rFonts w:ascii="Arial" w:cs="Arial" w:eastAsia="Arial" w:hAnsi="Arial"/>
                <w:sz w:val="18"/>
                <w:szCs w:val="18"/>
                <w:color w:val="auto"/>
              </w:rPr>
              <w:t>Add: Net finance expense (income)</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(6,557)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4,064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(13,950)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8,603</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 Share of net loss (income) of associates and joint ventures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21,779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26,675</w:t>
            </w:r>
          </w:p>
        </w:tc>
        <w:tc>
          <w:tcPr>
            <w:tcW w:w="0" w:type="dxa"/>
            <w:vAlign w:val="bottom"/>
          </w:tcPr>
          <w:p>
            <w:pPr>
              <w:spacing w:after="0"/>
              <w:rPr>
                <w:sz w:val="1"/>
                <w:szCs w:val="1"/>
                <w:color w:val="auto"/>
              </w:rPr>
            </w:pPr>
          </w:p>
        </w:tc>
      </w:tr>
      <w:tr>
        <w:trPr>
          <w:trHeight w:val="216"/>
        </w:trPr>
        <w:tc>
          <w:tcPr>
            <w:tcW w:w="5980" w:type="dxa"/>
            <w:vAlign w:val="bottom"/>
            <w:gridSpan w:val="4"/>
          </w:tcPr>
          <w:p>
            <w:pPr>
              <w:ind w:left="180"/>
              <w:spacing w:after="0"/>
              <w:rPr>
                <w:sz w:val="20"/>
                <w:szCs w:val="20"/>
                <w:color w:val="auto"/>
              </w:rPr>
            </w:pPr>
            <w:r>
              <w:rPr>
                <w:rFonts w:ascii="Arial" w:cs="Arial" w:eastAsia="Arial" w:hAnsi="Arial"/>
                <w:sz w:val="18"/>
                <w:szCs w:val="18"/>
                <w:color w:val="auto"/>
              </w:rPr>
              <w:t>Add: Other loss (income) from long-term investments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(18,000)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(4,733)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(24,000)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(90,193)</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5,877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19,600</w:t>
            </w:r>
          </w:p>
        </w:tc>
        <w:tc>
          <w:tcPr>
            <w:tcW w:w="0" w:type="dxa"/>
            <w:vAlign w:val="bottom"/>
          </w:tcPr>
          <w:p>
            <w:pPr>
              <w:spacing w:after="0"/>
              <w:rPr>
                <w:sz w:val="1"/>
                <w:szCs w:val="1"/>
                <w:color w:val="auto"/>
              </w:rPr>
            </w:pPr>
          </w:p>
        </w:tc>
      </w:tr>
      <w:tr>
        <w:trPr>
          <w:trHeight w:val="216"/>
        </w:trPr>
        <w:tc>
          <w:tcPr>
            <w:tcW w:w="5980" w:type="dxa"/>
            <w:vAlign w:val="bottom"/>
            <w:gridSpan w:val="4"/>
          </w:tcPr>
          <w:p>
            <w:pPr>
              <w:ind w:left="180"/>
              <w:spacing w:after="0"/>
              <w:rPr>
                <w:sz w:val="20"/>
                <w:szCs w:val="20"/>
                <w:color w:val="auto"/>
              </w:rPr>
            </w:pPr>
            <w:r>
              <w:rPr>
                <w:rFonts w:ascii="Arial" w:cs="Arial" w:eastAsia="Arial" w:hAnsi="Arial"/>
                <w:sz w:val="18"/>
                <w:szCs w:val="18"/>
                <w:color w:val="auto"/>
              </w:rPr>
              <w:t>Add: Impairment of non-financial assets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6,414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 Impairment of associates and joint ventures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62,089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62,089</w:t>
            </w:r>
          </w:p>
        </w:tc>
        <w:tc>
          <w:tcPr>
            <w:tcW w:w="0" w:type="dxa"/>
            <w:vAlign w:val="bottom"/>
          </w:tcPr>
          <w:p>
            <w:pPr>
              <w:spacing w:after="0"/>
              <w:rPr>
                <w:sz w:val="1"/>
                <w:szCs w:val="1"/>
                <w:color w:val="auto"/>
              </w:rPr>
            </w:pPr>
          </w:p>
        </w:tc>
      </w:tr>
      <w:tr>
        <w:trPr>
          <w:trHeight w:val="216"/>
        </w:trPr>
        <w:tc>
          <w:tcPr>
            <w:tcW w:w="5980" w:type="dxa"/>
            <w:vAlign w:val="bottom"/>
            <w:gridSpan w:val="4"/>
          </w:tcPr>
          <w:p>
            <w:pPr>
              <w:ind w:left="180"/>
              <w:spacing w:after="0"/>
              <w:rPr>
                <w:sz w:val="20"/>
                <w:szCs w:val="20"/>
                <w:color w:val="auto"/>
              </w:rPr>
            </w:pPr>
            <w:r>
              <w:rPr>
                <w:rFonts w:ascii="Arial" w:cs="Arial" w:eastAsia="Arial" w:hAnsi="Arial"/>
                <w:sz w:val="18"/>
                <w:szCs w:val="18"/>
                <w:color w:val="auto"/>
              </w:rPr>
              <w:t>Add: Share-based remuneration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992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3,130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4,706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 Credit loss expense related to divested joint venture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10,476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4"/>
          </w:tcPr>
          <w:p>
            <w:pPr>
              <w:ind w:left="180"/>
              <w:spacing w:after="0"/>
              <w:rPr>
                <w:sz w:val="20"/>
                <w:szCs w:val="20"/>
                <w:color w:val="auto"/>
              </w:rPr>
            </w:pPr>
            <w:r>
              <w:rPr>
                <w:rFonts w:ascii="Arial" w:cs="Arial" w:eastAsia="Arial" w:hAnsi="Arial"/>
                <w:sz w:val="18"/>
                <w:szCs w:val="18"/>
                <w:color w:val="auto"/>
              </w:rPr>
              <w:t>Add: Non-recurring expenses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321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3,543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Less: Other income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(11,542)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5980" w:type="dxa"/>
            <w:vAlign w:val="bottom"/>
            <w:gridSpan w:val="4"/>
          </w:tcPr>
          <w:p>
            <w:pPr>
              <w:ind w:left="180"/>
              <w:spacing w:after="0"/>
              <w:rPr>
                <w:sz w:val="20"/>
                <w:szCs w:val="20"/>
                <w:color w:val="auto"/>
              </w:rPr>
            </w:pPr>
            <w:r>
              <w:rPr>
                <w:rFonts w:ascii="Arial" w:cs="Arial" w:eastAsia="Arial" w:hAnsi="Arial"/>
                <w:sz w:val="18"/>
                <w:szCs w:val="18"/>
                <w:color w:val="auto"/>
              </w:rPr>
              <w:t>Less: (Profit) loss from discontinued operations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2,276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816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(141,742)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8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Adjusted EBITDA</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14,052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16,091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24,969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27,850</w:t>
            </w:r>
          </w:p>
        </w:tc>
        <w:tc>
          <w:tcPr>
            <w:tcW w:w="0" w:type="dxa"/>
            <w:vAlign w:val="bottom"/>
          </w:tcPr>
          <w:p>
            <w:pPr>
              <w:spacing w:after="0"/>
              <w:rPr>
                <w:sz w:val="1"/>
                <w:szCs w:val="1"/>
                <w:color w:val="auto"/>
              </w:rPr>
            </w:pPr>
          </w:p>
        </w:tc>
      </w:tr>
      <w:tr>
        <w:trPr>
          <w:trHeight w:val="197"/>
        </w:trPr>
        <w:tc>
          <w:tcPr>
            <w:tcW w:w="41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Reconciliation of net income (loss) to adjusted net income (loss):</w:t>
            </w:r>
          </w:p>
        </w:tc>
        <w:tc>
          <w:tcPr>
            <w:tcW w:w="128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Net Income (loss)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28,527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(84,209)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179,174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(15,784)</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 Share-based remuneration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16"/>
        </w:trPr>
        <w:tc>
          <w:tcPr>
            <w:tcW w:w="5980" w:type="dxa"/>
            <w:vAlign w:val="bottom"/>
            <w:gridSpan w:val="4"/>
          </w:tcPr>
          <w:p>
            <w:pPr>
              <w:ind w:left="180"/>
              <w:spacing w:after="0"/>
              <w:rPr>
                <w:sz w:val="20"/>
                <w:szCs w:val="20"/>
                <w:color w:val="auto"/>
              </w:rPr>
            </w:pPr>
            <w:r>
              <w:rPr>
                <w:rFonts w:ascii="Arial" w:cs="Arial" w:eastAsia="Arial" w:hAnsi="Arial"/>
                <w:sz w:val="18"/>
                <w:szCs w:val="18"/>
                <w:color w:val="auto"/>
              </w:rPr>
              <w:t>Add: Amortization of acquired intangible assets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1,341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907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5,354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Add: Amortization of Nanobank intangible assets </w:t>
            </w:r>
            <w:r>
              <w:rPr>
                <w:rFonts w:ascii="Arial" w:cs="Arial" w:eastAsia="Arial" w:hAnsi="Arial"/>
                <w:sz w:val="25"/>
                <w:szCs w:val="25"/>
                <w:color w:val="auto"/>
                <w:vertAlign w:val="superscript"/>
              </w:rPr>
              <w:t>(1)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7,037</w:t>
            </w:r>
          </w:p>
        </w:tc>
        <w:tc>
          <w:tcPr>
            <w:tcW w:w="0" w:type="dxa"/>
            <w:vAlign w:val="bottom"/>
          </w:tcPr>
          <w:p>
            <w:pPr>
              <w:spacing w:after="0"/>
              <w:rPr>
                <w:sz w:val="1"/>
                <w:szCs w:val="1"/>
                <w:color w:val="auto"/>
              </w:rPr>
            </w:pPr>
          </w:p>
        </w:tc>
      </w:tr>
      <w:tr>
        <w:trPr>
          <w:trHeight w:val="216"/>
        </w:trPr>
        <w:tc>
          <w:tcPr>
            <w:tcW w:w="5980" w:type="dxa"/>
            <w:vAlign w:val="bottom"/>
            <w:gridSpan w:val="4"/>
          </w:tcPr>
          <w:p>
            <w:pPr>
              <w:ind w:left="180"/>
              <w:spacing w:after="0"/>
              <w:rPr>
                <w:sz w:val="20"/>
                <w:szCs w:val="20"/>
                <w:color w:val="auto"/>
              </w:rPr>
            </w:pPr>
            <w:r>
              <w:rPr>
                <w:rFonts w:ascii="Arial" w:cs="Arial" w:eastAsia="Arial" w:hAnsi="Arial"/>
                <w:sz w:val="18"/>
                <w:szCs w:val="18"/>
                <w:color w:val="auto"/>
              </w:rPr>
              <w:t>Add: Non-recurring expenses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10,797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14,019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Income tax adjustment </w:t>
            </w:r>
            <w:r>
              <w:rPr>
                <w:rFonts w:ascii="Arial" w:cs="Arial" w:eastAsia="Arial" w:hAnsi="Arial"/>
                <w:sz w:val="25"/>
                <w:szCs w:val="25"/>
                <w:color w:val="auto"/>
                <w:vertAlign w:val="superscript"/>
              </w:rPr>
              <w:t>(2)</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5980" w:type="dxa"/>
            <w:vAlign w:val="bottom"/>
            <w:gridSpan w:val="4"/>
          </w:tcPr>
          <w:p>
            <w:pPr>
              <w:ind w:left="180"/>
              <w:spacing w:after="0"/>
              <w:rPr>
                <w:sz w:val="20"/>
                <w:szCs w:val="20"/>
                <w:color w:val="auto"/>
              </w:rPr>
            </w:pPr>
            <w:r>
              <w:rPr>
                <w:rFonts w:ascii="Arial" w:cs="Arial" w:eastAsia="Arial" w:hAnsi="Arial"/>
                <w:sz w:val="18"/>
                <w:szCs w:val="18"/>
                <w:color w:val="auto"/>
              </w:rPr>
              <w:t>Less: (Profit) loss from discontinued operations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2,276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816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(141,742)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Adjusted net income (loss)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45,298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(77,906)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5,661</w:t>
            </w:r>
          </w:p>
        </w:tc>
        <w:tc>
          <w:tcPr>
            <w:tcW w:w="0" w:type="dxa"/>
            <w:vAlign w:val="bottom"/>
          </w:tcPr>
          <w:p>
            <w:pPr>
              <w:spacing w:after="0"/>
              <w:rPr>
                <w:sz w:val="1"/>
                <w:szCs w:val="1"/>
                <w:color w:val="auto"/>
              </w:rPr>
            </w:pPr>
          </w:p>
        </w:tc>
      </w:tr>
      <w:tr>
        <w:trPr>
          <w:trHeight w:val="197"/>
        </w:trPr>
        <w:tc>
          <w:tcPr>
            <w:tcW w:w="41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Adjusted net income (loss) per ADS and per share: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4"/>
          </w:tcPr>
          <w:p>
            <w:pPr>
              <w:ind w:left="180"/>
              <w:spacing w:after="0"/>
              <w:rPr>
                <w:sz w:val="20"/>
                <w:szCs w:val="20"/>
                <w:color w:val="auto"/>
              </w:rPr>
            </w:pPr>
            <w:r>
              <w:rPr>
                <w:rFonts w:ascii="Arial" w:cs="Arial" w:eastAsia="Arial" w:hAnsi="Arial"/>
                <w:sz w:val="18"/>
                <w:szCs w:val="18"/>
                <w:color w:val="auto"/>
              </w:rPr>
              <w:t>Basic adjusted net income (loss) per ADS, US$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0.38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(0.68)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0.54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Basic adjusted net income (loss) per share, US$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5980" w:type="dxa"/>
            <w:vAlign w:val="bottom"/>
            <w:gridSpan w:val="4"/>
          </w:tcPr>
          <w:p>
            <w:pPr>
              <w:ind w:left="180"/>
              <w:spacing w:after="0"/>
              <w:rPr>
                <w:sz w:val="20"/>
                <w:szCs w:val="20"/>
                <w:color w:val="auto"/>
              </w:rPr>
            </w:pPr>
            <w:r>
              <w:rPr>
                <w:rFonts w:ascii="Arial" w:cs="Arial" w:eastAsia="Arial" w:hAnsi="Arial"/>
                <w:sz w:val="18"/>
                <w:szCs w:val="18"/>
                <w:color w:val="auto"/>
              </w:rPr>
              <w:t>Diluted adjusted net income (loss) per ADS, US$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0.38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(0.68)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Diluted adjusted net income (loss) per share, US$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20" w:hanging="212"/>
        <w:spacing w:after="0"/>
        <w:tabs>
          <w:tab w:leader="none" w:pos="22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The amortization of Nanobank intangible assets is included in the line "Share of net income (loss) of associates and joint ventures".</w:t>
      </w:r>
    </w:p>
    <w:p>
      <w:pPr>
        <w:spacing w:after="0" w:line="201" w:lineRule="exact"/>
        <w:rPr>
          <w:rFonts w:ascii="Arial" w:cs="Arial" w:eastAsia="Arial" w:hAnsi="Arial"/>
          <w:sz w:val="26"/>
          <w:szCs w:val="26"/>
          <w:color w:val="auto"/>
          <w:vertAlign w:val="superscript"/>
        </w:rPr>
      </w:pPr>
    </w:p>
    <w:p>
      <w:pPr>
        <w:ind w:right="380" w:firstLine="8"/>
        <w:spacing w:after="0" w:line="232" w:lineRule="auto"/>
        <w:tabs>
          <w:tab w:leader="none" w:pos="22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Reversal of tax benefit related to the social security cost component of share-based remuneration and deferred taxes on the amortization of acquired intangible assets.</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2022-02-17T06:08:34Z</dcterms:created>
  <dcterms:modified xsi:type="dcterms:W3CDTF">2022-02-17T06:08:34Z</dcterms:modified>
</cp:coreProperties>
</file>