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9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26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April 28, 2026, titled “Opera Reports First Quarter 2026 Results With Both Revenue and Adjusted EBITDA</w:t>
            </w:r>
          </w:p>
        </w:tc>
        <w:tc>
          <w:tcPr>
            <w:tcW w:w="74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Exceeding High End of Guidance Ranges”</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00" w:type="dxa"/>
            <w:vAlign w:val="bottom"/>
            <w:tcBorders>
              <w:top w:val="single" w:sz="8" w:color="0000FF"/>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560" w:type="dxa"/>
            <w:vAlign w:val="bottom"/>
          </w:tcPr>
          <w:p>
            <w:pPr>
              <w:spacing w:after="0"/>
              <w:rPr>
                <w:sz w:val="16"/>
                <w:szCs w:val="16"/>
                <w:color w:val="auto"/>
              </w:rPr>
            </w:pPr>
          </w:p>
        </w:tc>
        <w:tc>
          <w:tcPr>
            <w:tcW w:w="27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56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Opera Reports First Quarter 2026 Results With Both Revenue and Adjusted EBITDA Exceeding High End of Guidance Ranges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increased 23% year-over-year to $175.8 million, exceeding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EBITDA was $42.0 million, representing a 24% margin and 30% year-over-year growth, also exceeding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2026 revenue guidance of 23 - 25% growth with adjusted EBITDA margin of 23% at the midpoint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Raised full-year guidance to $727 - 740 million revenue (18 - 20% growth) with adjusted EBITDA of $170 - 174 million (23% margin)</w:t>
      </w:r>
    </w:p>
    <w:p>
      <w:pPr>
        <w:spacing w:after="0" w:line="200" w:lineRule="exact"/>
        <w:rPr>
          <w:sz w:val="20"/>
          <w:szCs w:val="20"/>
          <w:color w:val="auto"/>
        </w:rPr>
      </w:pPr>
    </w:p>
    <w:p>
      <w:pPr>
        <w:spacing w:after="0" w:line="23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April 28, 2026 </w:t>
      </w:r>
      <w:r>
        <w:rPr>
          <w:rFonts w:ascii="Times New Roman" w:cs="Times New Roman" w:eastAsia="Times New Roman" w:hAnsi="Times New Roman"/>
          <w:sz w:val="18"/>
          <w:szCs w:val="18"/>
          <w:color w:val="auto"/>
        </w:rPr>
        <w:t>— Opera Limited (NASDAQ: OPRA), a leading global browser and AI agent company, today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quarter ended March 31, 2026.</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off to a very strong start in 2026, with first quarter revenue and adjusted EBITDA ahead of the high-end of our guidance and continued strong cash generation. Our performance reflects solid execution across both advertising and query revenues which saw similar rates of growth during the quarter,</w:t>
      </w:r>
      <w:r>
        <w:rPr>
          <w:rFonts w:ascii="Times New Roman" w:cs="Times New Roman" w:eastAsia="Times New Roman" w:hAnsi="Times New Roman"/>
          <w:sz w:val="18"/>
          <w:szCs w:val="18"/>
          <w:color w:val="1D1C1D"/>
        </w:rPr>
        <w:t>” said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Lin Song, CEO.</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“Beyond our solid financial execution, we achieved major product and strategic milestones this quarter. We continue to redefine the browser’s role in the AI era; and with the launch of Browser Connector we have turned the browser into a live execution layer, allowing the user’s AI platform of choice to access and read page content, understand open tabs, and even take screenshots to analyze images or graphs. Beyond the technical upgrade, this also reinforces Opera’s long-standing advocacy for user choice over lock-in. MiniPay also continued its rapid growth trajectory, promoting a healthy partner ecosystem and an expanding set of services tailored for emerging markets,” continued Mr. Song.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Highlights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amounts</w:t>
            </w:r>
          </w:p>
        </w:tc>
        <w:tc>
          <w:tcPr>
            <w:tcW w:w="180" w:type="dxa"/>
            <w:vAlign w:val="bottom"/>
            <w:vMerge w:val="restart"/>
          </w:tcPr>
          <w:p>
            <w:pPr>
              <w:spacing w:after="0"/>
              <w:rPr>
                <w:sz w:val="15"/>
                <w:szCs w:val="15"/>
                <w:color w:val="auto"/>
              </w:rPr>
            </w:pPr>
          </w:p>
        </w:tc>
        <w:tc>
          <w:tcPr>
            <w:tcW w:w="274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142,717</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175,771</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2"/>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29,762</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17%</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240" w:type="dxa"/>
            <w:vAlign w:val="bottom"/>
          </w:tcPr>
          <w:p>
            <w:pPr>
              <w:spacing w:after="0"/>
              <w:rPr>
                <w:sz w:val="17"/>
                <w:szCs w:val="17"/>
                <w:color w:val="auto"/>
              </w:rPr>
            </w:pPr>
          </w:p>
        </w:tc>
        <w:tc>
          <w:tcPr>
            <w:tcW w:w="10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24,786</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Net income margin</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13%</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14%</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24,154</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31,176</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Adjusted net income margin</w:t>
            </w:r>
          </w:p>
        </w:tc>
        <w:tc>
          <w:tcPr>
            <w:tcW w:w="9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18%</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240" w:type="dxa"/>
            <w:vAlign w:val="bottom"/>
          </w:tcPr>
          <w:p>
            <w:pPr>
              <w:spacing w:after="0"/>
              <w:rPr>
                <w:sz w:val="17"/>
                <w:szCs w:val="17"/>
                <w:color w:val="auto"/>
              </w:rPr>
            </w:pPr>
          </w:p>
        </w:tc>
        <w:tc>
          <w:tcPr>
            <w:tcW w:w="10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41,998</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23%</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24%</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diluted earnings per share </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240" w:type="dxa"/>
            <w:vAlign w:val="bottom"/>
          </w:tcPr>
          <w:p>
            <w:pPr>
              <w:spacing w:after="0"/>
              <w:rPr>
                <w:sz w:val="17"/>
                <w:szCs w:val="17"/>
                <w:color w:val="auto"/>
              </w:rPr>
            </w:pPr>
          </w:p>
        </w:tc>
        <w:tc>
          <w:tcPr>
            <w:tcW w:w="10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5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flow from operating activities</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240" w:type="dxa"/>
            <w:vAlign w:val="bottom"/>
          </w:tcPr>
          <w:p>
            <w:pPr>
              <w:spacing w:after="0"/>
              <w:rPr>
                <w:sz w:val="17"/>
                <w:szCs w:val="17"/>
                <w:color w:val="auto"/>
              </w:rPr>
            </w:pPr>
          </w:p>
        </w:tc>
        <w:tc>
          <w:tcPr>
            <w:tcW w:w="102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42,145</w:t>
            </w:r>
          </w:p>
        </w:tc>
        <w:tc>
          <w:tcPr>
            <w:tcW w:w="28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49%</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100%</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Free cash flow from operations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12,026</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35,506</w:t>
            </w:r>
          </w:p>
        </w:tc>
        <w:tc>
          <w:tcPr>
            <w:tcW w:w="2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84"/>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9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37%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85%</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80" w:right="280" w:hanging="372"/>
        <w:spacing w:after="0" w:line="283"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and Recent Business Highlights</w:t>
      </w:r>
    </w:p>
    <w:p>
      <w:pPr>
        <w:spacing w:after="0" w:line="121" w:lineRule="exact"/>
        <w:rPr>
          <w:sz w:val="20"/>
          <w:szCs w:val="20"/>
          <w:color w:val="auto"/>
        </w:rPr>
      </w:pPr>
    </w:p>
    <w:p>
      <w:pPr>
        <w:ind w:left="760" w:right="6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grew 24% year-over-year to $117.0 million, representing 67% of total revenue. Advertising revenue was driven by continued strong momentum from e-commerce partners, which remained the fastest-growing vertical.</w:t>
      </w:r>
    </w:p>
    <w:p>
      <w:pPr>
        <w:spacing w:after="0" w:line="53"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grew 23% year-over-year to $58.3 million, accounting for 33% of total revenue and benefiting from both strong search performance and the evolution of our broader opportunities to address user queries.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288 million average monthly active users (“MAUs”) across all products and services in the quarter, with annualized average revenue per user (“ARPU”) of $2.43, an increase of 25% versus the first quarter of 2025. During the quarter Opera added 4 million MAUs, with strong growth in PC browsers following the release of Opera One R3 with new built-in AI tools.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GX had 35 million average MAUs in the quarter across PC and mobile, up 1 million from the prior quarter.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MiniPay reached 15 million cumulative activated wallets as of March 2026, representing a 123% year-over-year increase.</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$42.1 million, representing 100% of adjusted EBITDA. At quarter-end, cash and cash equivalents totaled $141.9 million.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of $0.40 per share under our semi-annual dividend program was paid in January, totaling $35.9 million.</w:t>
      </w:r>
    </w:p>
    <w:p>
      <w:pPr>
        <w:spacing w:after="0" w:line="117" w:lineRule="exact"/>
        <w:rPr>
          <w:rFonts w:ascii="Times New Roman" w:cs="Times New Roman" w:eastAsia="Times New Roman" w:hAnsi="Times New Roman"/>
          <w:sz w:val="18"/>
          <w:szCs w:val="18"/>
          <w:color w:val="auto"/>
        </w:rPr>
      </w:pPr>
    </w:p>
    <w:p>
      <w:pPr>
        <w:ind w:left="760" w:right="200" w:hanging="378"/>
        <w:spacing w:after="0" w:line="25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we repurchased 1.14 million shares for a total spend of $17.0 million or an average of $14.88 per share, following the launch of our previously announced $300 million share repurchase program. This includes shares repurchased from the public and the according pro-rata shares repurchased, or agreed to be repurchased, from our majority shareholder, with a total cash outlay of $12.8 million in the quarter and the remainder $4.1 million to be included in our next settlement round with the majority shareholder. As of March 31, 2026, the number of shares outstanding was 89,552,967.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first quarter of 2025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23% to $175.8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24% to $117.0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increased 23% to $58.3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was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20% to $146.1 million.</w:t>
      </w:r>
    </w:p>
    <w:p>
      <w:pPr>
        <w:spacing w:after="0" w:line="121" w:lineRule="exact"/>
        <w:rPr>
          <w:sz w:val="20"/>
          <w:szCs w:val="20"/>
          <w:color w:val="auto"/>
        </w:rPr>
      </w:pPr>
    </w:p>
    <w:p>
      <w:pPr>
        <w:ind w:left="760" w:right="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technology and platform fees, content cost and cost of inventory sold, all being costs of revenue, was $64.8 million, or 37% of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excluding share-based compensation increased 23% to $21.5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increased 7% to $6.4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increased 13% to $38.5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17% to $5.2 million.</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increased 10% to $9.6 million, driven mainly by higher hosting and other operating costs, partly offset by lower professional services expenses.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$29.8 million, representing a 17% margin, compared to an operating profit of $21.1 million and a margin of 15% in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income </w:t>
      </w:r>
      <w:r>
        <w:rPr>
          <w:rFonts w:ascii="Times New Roman" w:cs="Times New Roman" w:eastAsia="Times New Roman" w:hAnsi="Times New Roman"/>
          <w:sz w:val="18"/>
          <w:szCs w:val="18"/>
          <w:color w:val="auto"/>
        </w:rPr>
        <w:t>was $0.1 million, reflecting net interest income of $0.7 million, largely offset by foreign exchange loss of $0.6 million.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$5.1 million, corresponding to an effective tax rate of 17%, and representing 12% of adjusted EBITDA. This compares to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expense of $2.5 million in the first quarter of 2025, representing 8% of adjusted EBITDA.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$24.8 million, representing a 14% margin, compared to net income of $18.3 million and a margin of 13% in the first quarter of 2025.</w:t>
      </w: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$31.2 million, representing a 18% margin and an increase of 29% relative to $24.2 million and a 17% margin in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2025.</w:t>
      </w:r>
    </w:p>
    <w:p>
      <w:pPr>
        <w:sectPr>
          <w:pgSz w:w="11900" w:h="16838" w:orient="portrait"/>
          <w:cols w:equalWidth="0" w:num="1">
            <w:col w:w="11200"/>
          </w:cols>
          <w:pgMar w:left="320" w:top="819" w:right="379" w:bottom="1440"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type w:val="continuous"/>
        </w:sectPr>
      </w:pPr>
    </w:p>
    <w:bookmarkStart w:id="5" w:name="page6"/>
    <w:bookmarkEnd w:id="5"/>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$42.0 million, representing a 24% margin and an increase of 30% relative to $32.3 million and a 23% margin in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was $0.27, whereas</w:t>
      </w:r>
      <w:r>
        <w:rPr>
          <w:rFonts w:ascii="Times New Roman" w:cs="Times New Roman" w:eastAsia="Times New Roman" w:hAnsi="Times New Roman"/>
          <w:sz w:val="18"/>
          <w:szCs w:val="18"/>
          <w:b w:val="1"/>
          <w:bCs w:val="1"/>
          <w:color w:val="auto"/>
        </w:rPr>
        <w:t xml:space="preserve"> adjusted diluted earnings per share </w:t>
      </w:r>
      <w:r>
        <w:rPr>
          <w:rFonts w:ascii="Times New Roman" w:cs="Times New Roman" w:eastAsia="Times New Roman" w:hAnsi="Times New Roman"/>
          <w:sz w:val="18"/>
          <w:szCs w:val="18"/>
          <w:color w:val="auto"/>
        </w:rPr>
        <w:t>was $0.34.</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$42.1 million, or 100%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$35.5 million, or 85%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Second Quarter 2026 Guidance</w:t>
            </w:r>
          </w:p>
        </w:tc>
        <w:tc>
          <w:tcPr>
            <w:tcW w:w="320" w:type="dxa"/>
            <w:vAlign w:val="bottom"/>
          </w:tcPr>
          <w:p>
            <w:pPr>
              <w:spacing w:after="0"/>
              <w:rPr>
                <w:sz w:val="18"/>
                <w:szCs w:val="18"/>
                <w:color w:val="auto"/>
              </w:rPr>
            </w:pPr>
          </w:p>
        </w:tc>
        <w:tc>
          <w:tcPr>
            <w:tcW w:w="2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2026 Guidance</w:t>
            </w:r>
          </w:p>
        </w:tc>
        <w:tc>
          <w:tcPr>
            <w:tcW w:w="280" w:type="dxa"/>
            <w:vAlign w:val="bottom"/>
          </w:tcPr>
          <w:p>
            <w:pPr>
              <w:spacing w:after="0"/>
              <w:rPr>
                <w:sz w:val="18"/>
                <w:szCs w:val="18"/>
                <w:color w:val="auto"/>
              </w:rPr>
            </w:pPr>
          </w:p>
        </w:tc>
      </w:tr>
      <w:tr>
        <w:trPr>
          <w:trHeight w:val="21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$176 – 178 million</w:t>
            </w:r>
          </w:p>
        </w:tc>
        <w:tc>
          <w:tcPr>
            <w:tcW w:w="3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$727 – 740 million</w:t>
            </w:r>
          </w:p>
        </w:tc>
      </w:tr>
      <w:tr>
        <w:trPr>
          <w:trHeight w:val="164"/>
        </w:trPr>
        <w:tc>
          <w:tcPr>
            <w:tcW w:w="5020" w:type="dxa"/>
            <w:vAlign w:val="bottom"/>
          </w:tcPr>
          <w:p>
            <w:pPr>
              <w:spacing w:after="0" w:line="164" w:lineRule="exact"/>
              <w:rPr>
                <w:sz w:val="20"/>
                <w:szCs w:val="20"/>
                <w:color w:val="auto"/>
              </w:rPr>
            </w:pPr>
            <w:r>
              <w:rPr>
                <w:rFonts w:ascii="Times New Roman" w:cs="Times New Roman" w:eastAsia="Times New Roman" w:hAnsi="Times New Roman"/>
                <w:sz w:val="18"/>
                <w:szCs w:val="18"/>
                <w:i w:val="1"/>
                <w:iCs w:val="1"/>
                <w:color w:val="auto"/>
              </w:rPr>
              <w:t>Year-over-year revenue growth</w:t>
            </w:r>
          </w:p>
        </w:tc>
        <w:tc>
          <w:tcPr>
            <w:tcW w:w="31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i w:val="1"/>
                <w:iCs w:val="1"/>
                <w:color w:val="auto"/>
              </w:rPr>
              <w:t xml:space="preserve">23 </w:t>
            </w:r>
            <w:r>
              <w:rPr>
                <w:rFonts w:ascii="Times New Roman" w:cs="Times New Roman" w:eastAsia="Times New Roman" w:hAnsi="Times New Roman"/>
                <w:sz w:val="18"/>
                <w:szCs w:val="18"/>
                <w:color w:val="auto"/>
              </w:rPr>
              <w:t>– 25</w:t>
            </w:r>
            <w:r>
              <w:rPr>
                <w:rFonts w:ascii="Times New Roman" w:cs="Times New Roman" w:eastAsia="Times New Roman" w:hAnsi="Times New Roman"/>
                <w:sz w:val="18"/>
                <w:szCs w:val="18"/>
                <w:i w:val="1"/>
                <w:iCs w:val="1"/>
                <w:color w:val="auto"/>
              </w:rPr>
              <w:t xml:space="preserve"> %</w:t>
            </w:r>
          </w:p>
        </w:tc>
        <w:tc>
          <w:tcPr>
            <w:tcW w:w="308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8"/>
                <w:szCs w:val="18"/>
                <w:i w:val="1"/>
                <w:iCs w:val="1"/>
                <w:color w:val="auto"/>
              </w:rPr>
              <w:t xml:space="preserve">18 </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i w:val="1"/>
                <w:iCs w:val="1"/>
                <w:color w:val="auto"/>
              </w:rPr>
              <w:t>%</w:t>
            </w:r>
          </w:p>
        </w:tc>
      </w:tr>
      <w:tr>
        <w:trPr>
          <w:trHeight w:val="214"/>
        </w:trPr>
        <w:tc>
          <w:tcPr>
            <w:tcW w:w="50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3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 – 42 million</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 – 174 million</w:t>
            </w:r>
          </w:p>
        </w:tc>
      </w:tr>
      <w:tr>
        <w:trPr>
          <w:trHeight w:val="252"/>
        </w:trPr>
        <w:tc>
          <w:tcPr>
            <w:tcW w:w="5020" w:type="dxa"/>
            <w:vAlign w:val="bottom"/>
          </w:tcPr>
          <w:p>
            <w:pPr>
              <w:spacing w:after="0" w:line="251"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(2)</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23%</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adjusted EBITDA margin have been calculated based on the midpoints of the revenue and adjusted EBITDA guidance.</w:t>
      </w:r>
    </w:p>
    <w:p>
      <w:pPr>
        <w:spacing w:after="0" w:line="18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“Our first quarter performance reflects the strong momentum in our business, with the resulting overperformance driving an incremental $4 million of revenue on top of the guidance range, with over 50% conversion to incremental adjusted EBITDA. The second quarter is shaping up in a similar way, allowing us to also raise our full-year expectations while still leaving room for later upside,” said Frode Jacobsen, CFO.</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remain focused on seizing our opportunities and advancing Opera’s scale, however we take care to combine that with continued cost discipline and healthy profit expansion. We are pleased with our ability to return capital to shareholders through our recurring dividend and share repurchase programs,” continued Mr. Jacobsen.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first quarter 2026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provide announcements on our investor relations website at investor.opera.com regarding our financial performance and other matters, including SEC filings, press releases, slide presentations, business blog posts and information on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IFRS Accounting Standards, we use the non-IFRS performance measures adjusted net income, adjusted EBITDA, adjusted diluted earnings per share, as well as the non-IFRS liquidity measure free cash flow from operations, to manage our business, evaluate performance, support planning and decision-making, and allocate resources. The non-IFRS performance measures are intended to provide supplemental information by excluding items that we believe are not representative of core business operating performance. While free cash flow from operations does not represent residual cash available for discretionary uses, we believe that it provides useful supplemental information regarding our ability to generate cash from ongoing operations to fund investments, including acquisitions, and to support capital allocation decisions.</w:t>
      </w:r>
    </w:p>
    <w:p>
      <w:pPr>
        <w:spacing w:after="0" w:line="14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Adjusted net income is defined as net income adjusted to exclude (i) profit (loss) from discontinued operations, (ii) gain (loss) on investments in unconsolidated entities, (iii) non-recurring expenses, (iv) impairment of non-financial assets, (v) amortization of acquired intangible assets, (vi) share-based compensation expenses, and (vii) the income tax effect of these adjustments. Adjusted net income margin is calculated as adjusted net income divided by revenue. Adjusted diluted earnings per share is calculated as adjusted net income divided by the diluted weighted average number of shares outstanding.</w:t>
      </w:r>
    </w:p>
    <w:p>
      <w:pPr>
        <w:spacing w:after="0" w:line="1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to exclude (i) profit (loss) from discontinued operations, (ii) income tax expense, (iii) net finance income (expense), (iv) gain (loss) on long-term investments in unconsolidated entities, (v) non-recurring expenses, (vi) impairment of non-financial assets,</w:t>
      </w:r>
    </w:p>
    <w:p>
      <w:pPr>
        <w:ind w:right="140" w:firstLine="8"/>
        <w:spacing w:after="0" w:line="260" w:lineRule="auto"/>
        <w:tabs>
          <w:tab w:leader="none" w:pos="3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(viii) share-based compensation expenses, and (ix) other operating income. Adjusted EBITDA margin is calculated as adjusted EBITDA divided by revenue.</w:t>
      </w:r>
    </w:p>
    <w:p>
      <w:pPr>
        <w:spacing w:after="0" w:line="14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Free cash flow from operations is defined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these non-IFRS financial measures are useful to investors because they facilitate period-to-period comparisons of operating performance and are consistent with how management evaluates the business. These measures should not be considered in</w:t>
      </w:r>
    </w:p>
    <w:p>
      <w:pPr>
        <w:sectPr>
          <w:pgSz w:w="11900" w:h="16838" w:orient="portrait"/>
          <w:cols w:equalWidth="0" w:num="1">
            <w:col w:w="11240"/>
          </w:cols>
          <w:pgMar w:left="320" w:top="819"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t>isolation or as substitutes for, or superior to, the financial information prepared in accordance with IFRS Accounting Standards. Our definitions of adjusted net income, adjusted EBITDA, adjusted diluted earnings per share and free cash flow from operations may differ from similarly-titled measures used by other companies. In addition, these measures may be limited in their usefulness because they do not present the full economic effects of certain items of income, expenses and cash flows. We address the limitations of these non-IFRS financial measures by providing reconciliations from the most closely comparable IFRS financial measures in the section titled “Reconciliations of Non-IFRS Financial Measures” included at the end of this earnings press release. Investors are encouraged to review these reconciliations and to consider non-IFRS financial measures together with our IFRS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include, but are not limited to, statements relating to our expectations regarding our business, strategy, products, services, outlook and guidance. Forward-looking statements are based on management’s current expectations and assumptions and are subject to risks and uncertainties that could cause actual results to differ materially from those expressed or implied by the forward-looking statements.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include, among others: (i) our ability to attract, retain, and engage users and to increase ARPU; (ii) changes in macroeconomic conditions, including inflationary pressures, interest rates, consumer and advertiser spending trends, and the effects of higher energy prices and market volatility; (iii) our ability to maintain and improve monetization from query and revenue-sharing arrangements, including dependence on major partners and changes in their commercial terms, policies, algorithms, or distribution mechanics; (iv) changes by platform providers (including mobile operating systems, browsers, app stores, and device manufacturers) that could affect distribution, product functionality, data access, attribution, or monetization; (v) competition in browsers, AI-enabled user experiences, digital advertising, and consumer internet products; (vi) the successful development, deployment, adoption, and monetization of new products and features, including AI initiatives, and the costs and risks associated with them; (vii) privacy, data protection, consumer protection, competition/antitrust, online safety, and other laws and regulations (including changes in interpretation, enforcement, or compliance obligations) and related litigation or regulatory inquiries; (viii) security incidents, service disruptions, outages, and failures of our or third parties’ systems; (ix) our ability to manage operational, technical, and infrastructure costs, including hosting and distribution costs, and to scale effectively; (x) foreign currency exchange rate fluctuations and other market volatility; (xi) geopolitical events, including armed conflicts, sanctions, trade or shipping disruptions, or other instability in the Middle East and other regions, and their effects on energy prices, inflation, financial markets, supply chains, and broader economic conditions; (xii) our ability to attract and retain key personnel; and (xiii) other risks and uncertainties described under “Risk Factors” in our most recent Annual Report on Form 20-F and in our other filings and submissions with the U.S. Securities and Exchange Commission.</w:t>
      </w:r>
    </w:p>
    <w:p>
      <w:pPr>
        <w:spacing w:after="0" w:line="155"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23"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Content cost</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inventory sold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(60,854)</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(17,568)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(21,546)</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(34,204)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(38,517)</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(146,055)</w:t>
            </w:r>
          </w:p>
        </w:tc>
        <w:tc>
          <w:tcPr>
            <w:tcW w:w="0" w:type="dxa"/>
            <w:vAlign w:val="bottom"/>
          </w:tcPr>
          <w:p>
            <w:pPr>
              <w:spacing w:after="0"/>
              <w:rPr>
                <w:sz w:val="1"/>
                <w:szCs w:val="1"/>
                <w:color w:val="auto"/>
              </w:rPr>
            </w:pPr>
          </w:p>
        </w:tc>
      </w:tr>
      <w:tr>
        <w:trPr>
          <w:trHeight w:val="20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expense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90,188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60" w:type="dxa"/>
            <w:vAlign w:val="bottom"/>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60" w:type="dxa"/>
            <w:vAlign w:val="bottom"/>
          </w:tcPr>
          <w:p>
            <w:pPr>
              <w:jc w:val="center"/>
              <w:ind w:left="3510"/>
              <w:spacing w:after="0"/>
              <w:rPr>
                <w:sz w:val="20"/>
                <w:szCs w:val="20"/>
                <w:color w:val="auto"/>
              </w:rPr>
            </w:pPr>
            <w:r>
              <w:rPr>
                <w:rFonts w:ascii="Times New Roman" w:cs="Times New Roman" w:eastAsia="Times New Roman" w:hAnsi="Times New Roman"/>
                <w:sz w:val="18"/>
                <w:szCs w:val="18"/>
                <w:i w:val="1"/>
                <w:iCs w:val="1"/>
                <w:color w:val="auto"/>
              </w:rPr>
              <w:t>(In thousands, unaudited)</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9"/>
        </w:trPr>
        <w:tc>
          <w:tcPr>
            <w:tcW w:w="7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jc w:val="center"/>
              <w:ind w:left="3490"/>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7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-5245735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-5245735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-4954270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-4954270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-3822700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-1057910</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-1057910</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OPay</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1,140,948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29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shares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(255,789)</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1,010,716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988,975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8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-4568190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-4011295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-3719830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-3702685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-2030730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-1190625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-899160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Pr>
          <w:p>
            <w:pPr>
              <w:spacing w:after="0"/>
              <w:rPr>
                <w:sz w:val="17"/>
                <w:szCs w:val="17"/>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1,020,700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(35,395)</w:t>
            </w:r>
          </w:p>
        </w:tc>
      </w:tr>
      <w:tr>
        <w:trPr>
          <w:trHeight w:val="20"/>
        </w:trPr>
        <w:tc>
          <w:tcPr>
            <w:tcW w:w="3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89,500,854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611,818</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560,340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(3,786)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929,576</w:t>
            </w:r>
          </w:p>
        </w:tc>
        <w:tc>
          <w:tcPr>
            <w:tcW w:w="100" w:type="dxa"/>
            <w:vAlign w:val="bottom"/>
            <w:shd w:val="clear" w:color="auto" w:fill="CFF0FC"/>
          </w:tcPr>
          <w:p>
            <w:pPr>
              <w:spacing w:after="0"/>
              <w:rPr>
                <w:sz w:val="18"/>
                <w:szCs w:val="18"/>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89,648,056</w:t>
            </w:r>
          </w:p>
        </w:tc>
        <w:tc>
          <w:tcPr>
            <w:tcW w:w="160" w:type="dxa"/>
            <w:vAlign w:val="bottom"/>
            <w:shd w:val="clear" w:color="auto" w:fill="CFF0FC"/>
          </w:tcPr>
          <w:p>
            <w:pPr>
              <w:spacing w:after="0"/>
              <w:rPr>
                <w:sz w:val="17"/>
                <w:szCs w:val="17"/>
                <w:color w:val="auto"/>
              </w:rPr>
            </w:pPr>
          </w:p>
        </w:tc>
        <w:tc>
          <w:tcPr>
            <w:tcW w:w="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576,046</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674,735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(1,268)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1,010,716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1,045,522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60"/>
              <w:spacing w:after="0" w:line="203" w:lineRule="exact"/>
              <w:rPr>
                <w:sz w:val="20"/>
                <w:szCs w:val="20"/>
                <w:color w:val="auto"/>
              </w:rPr>
            </w:pPr>
            <w:r>
              <w:rPr>
                <w:rFonts w:ascii="Times New Roman" w:cs="Times New Roman" w:eastAsia="Times New Roman" w:hAnsi="Times New Roman"/>
                <w:sz w:val="16"/>
                <w:szCs w:val="16"/>
                <w:color w:val="auto"/>
              </w:rPr>
              <w:t xml:space="preserve">Share repurchases </w:t>
            </w:r>
            <w:r>
              <w:rPr>
                <w:rFonts w:ascii="Times New Roman" w:cs="Times New Roman" w:eastAsia="Times New Roman" w:hAnsi="Times New Roman"/>
                <w:sz w:val="21"/>
                <w:szCs w:val="21"/>
                <w:color w:val="auto"/>
                <w:vertAlign w:val="superscript"/>
              </w:rPr>
              <w:t>(1)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(1,140,611)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(16,975)</w:t>
            </w:r>
          </w:p>
        </w:tc>
        <w:tc>
          <w:tcPr>
            <w:tcW w:w="0" w:type="dxa"/>
            <w:vAlign w:val="bottom"/>
          </w:tcPr>
          <w:p>
            <w:pPr>
              <w:spacing w:after="0"/>
              <w:rPr>
                <w:sz w:val="1"/>
                <w:szCs w:val="1"/>
                <w:color w:val="auto"/>
              </w:rPr>
            </w:pPr>
          </w:p>
        </w:tc>
      </w:tr>
      <w:tr>
        <w:trPr>
          <w:trHeight w:val="202"/>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(35,878)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(35,878)</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89,552,967</w:t>
            </w:r>
          </w:p>
        </w:tc>
        <w:tc>
          <w:tcPr>
            <w:tcW w:w="160" w:type="dxa"/>
            <w:vAlign w:val="bottom"/>
          </w:tcPr>
          <w:p>
            <w:pPr>
              <w:spacing w:after="0"/>
              <w:rPr>
                <w:sz w:val="17"/>
                <w:szCs w:val="17"/>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540,168</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(255,789)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-299720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-299720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-299720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-299720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-299720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both"/>
        <w:ind w:left="380" w:right="340" w:hanging="372"/>
        <w:spacing w:after="0" w:line="269"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ADSs repurchased from the public market and ordinary shares repurchased or agreed to be repurchased from our majority shareholder on a pro rata basis under a share purchase agreement. Within the totals, 288,431 shares subject to a binding repurchase agreement with the majority shareholder have been reflected, corresponding to a redemption obligation of $4.1 million recognized in equity as of period-end, with delivery of the shares and cash settlement taking place in the subsequent quarter.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7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 operating activities: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equity awards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(11,034)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(2,714)</w:t>
            </w:r>
          </w:p>
        </w:tc>
      </w:tr>
      <w:tr>
        <w:trPr>
          <w:trHeight w:val="209"/>
        </w:trPr>
        <w:tc>
          <w:tcPr>
            <w:tcW w:w="74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3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equipment</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expenditure</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(2,882)</w:t>
            </w: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received</w:t>
            </w:r>
          </w:p>
        </w:tc>
        <w:tc>
          <w:tcPr>
            <w:tcW w:w="3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r>
      <w:tr>
        <w:trPr>
          <w:trHeight w:val="209"/>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(5,772)</w:t>
            </w:r>
          </w:p>
        </w:tc>
      </w:tr>
      <w:tr>
        <w:trPr>
          <w:trHeight w:val="210"/>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(12,846)</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(35,878)</w:t>
            </w: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(1,293)</w:t>
            </w: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7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(36,606)</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(50,133)</w:t>
            </w:r>
          </w:p>
        </w:tc>
      </w:tr>
      <w:tr>
        <w:trPr>
          <w:trHeight w:val="20"/>
        </w:trPr>
        <w:tc>
          <w:tcPr>
            <w:tcW w:w="74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(13,759)</w:t>
            </w: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126,797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r>
      <w:tr>
        <w:trPr>
          <w:trHeight w:val="25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8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103,546</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141,904</w:t>
            </w:r>
          </w:p>
        </w:tc>
        <w:tc>
          <w:tcPr>
            <w:tcW w:w="100" w:type="dxa"/>
            <w:vAlign w:val="bottom"/>
            <w:shd w:val="clear" w:color="auto" w:fill="CFF0FC"/>
          </w:tcPr>
          <w:p>
            <w:pPr>
              <w:spacing w:after="0"/>
              <w:rPr>
                <w:sz w:val="21"/>
                <w:szCs w:val="21"/>
                <w:color w:val="auto"/>
              </w:rPr>
            </w:pPr>
          </w:p>
        </w:tc>
      </w:tr>
      <w:tr>
        <w:trPr>
          <w:trHeight w:val="602"/>
        </w:trPr>
        <w:tc>
          <w:tcPr>
            <w:tcW w:w="74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7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-3007995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-2167890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-1328420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00" w:type="dxa"/>
            <w:vAlign w:val="bottom"/>
            <w:gridSpan w:val="2"/>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94,626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Query</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0" w:type="dxa"/>
            <w:vAlign w:val="bottom"/>
            <w:gridSpan w:val="2"/>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142,717</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1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2"/>
        </w:trPr>
        <w:tc>
          <w:tcPr>
            <w:tcW w:w="6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2000" w:type="dxa"/>
            <w:vAlign w:val="bottom"/>
            <w:gridSpan w:val="2"/>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(7,299)</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parent-granted awards </w:t>
            </w:r>
            <w:r>
              <w:rPr>
                <w:rFonts w:ascii="Times New Roman" w:cs="Times New Roman" w:eastAsia="Times New Roman" w:hAnsi="Times New Roman"/>
                <w:sz w:val="24"/>
                <w:szCs w:val="24"/>
                <w:color w:val="auto"/>
                <w:vertAlign w:val="superscript"/>
              </w:rPr>
              <w:t>(1)</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(5,761)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01"/>
        </w:trPr>
        <w:tc>
          <w:tcPr>
            <w:tcW w:w="668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-1982470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-1982470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-456565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-165100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-147955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80" w:hanging="372"/>
        <w:spacing w:after="0" w:line="275" w:lineRule="auto"/>
        <w:tabs>
          <w:tab w:leader="none" w:pos="3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majority shareholder of Opera, has granted equity awards to Opera employees as compensation for services provided to Opera. Opera does not have any obligation to settle the awards granted by Kunlun and such awards do not lead to dilution for Opera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4520" w:type="dxa"/>
            <w:vAlign w:val="bottom"/>
            <w:gridSpan w:val="2"/>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(2,930)</w:t>
            </w: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3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3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r>
      <w:tr>
        <w:trPr>
          <w:trHeight w:val="20"/>
        </w:trPr>
        <w:tc>
          <w:tcPr>
            <w:tcW w:w="4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5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(7,833)</w:t>
            </w: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(8,515)</w:t>
            </w:r>
          </w:p>
        </w:tc>
      </w:tr>
      <w:tr>
        <w:trPr>
          <w:trHeight w:val="588"/>
        </w:trPr>
        <w:tc>
          <w:tcPr>
            <w:tcW w:w="422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jc w:val="right"/>
              <w:ind w:right="199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42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-727710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ind w:left="3740"/>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 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Amortization of acquired intangible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Income tax effect on adjustments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right="3480"/>
        <w:spacing w:after="0" w:line="260" w:lineRule="auto"/>
        <w:rPr>
          <w:sz w:val="20"/>
          <w:szCs w:val="20"/>
          <w:color w:val="auto"/>
        </w:rPr>
      </w:pPr>
      <w:r>
        <w:rPr>
          <w:rFonts w:ascii="Times New Roman" w:cs="Times New Roman" w:eastAsia="Times New Roman" w:hAnsi="Times New Roman"/>
          <w:sz w:val="18"/>
          <w:szCs w:val="18"/>
          <w:color w:val="auto"/>
        </w:rPr>
        <w:t xml:space="preserve">Diluted weighted-average number of shares outstanding </w:t>
      </w:r>
      <w:r>
        <w:rPr>
          <w:rFonts w:ascii="Times New Roman" w:cs="Times New Roman" w:eastAsia="Times New Roman" w:hAnsi="Times New Roman"/>
          <w:sz w:val="18"/>
          <w:szCs w:val="18"/>
          <w:b w:val="1"/>
          <w:bCs w:val="1"/>
          <w:color w:val="auto"/>
        </w:rPr>
        <w:t>Adjusted diluted earnings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to adjusted EBITDA: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finance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Impairment of non-financial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center"/>
        <w:ind w:right="5520"/>
        <w:spacing w:after="0"/>
        <w:rPr>
          <w:sz w:val="20"/>
          <w:szCs w:val="20"/>
          <w:color w:val="auto"/>
        </w:rPr>
      </w:pPr>
      <w:r>
        <w:rPr>
          <w:rFonts w:ascii="Times New Roman" w:cs="Times New Roman" w:eastAsia="Times New Roman" w:hAnsi="Times New Roman"/>
          <w:sz w:val="18"/>
          <w:szCs w:val="18"/>
          <w:color w:val="auto"/>
        </w:rPr>
        <w:t>Other operating income</w:t>
      </w:r>
    </w:p>
    <w:p>
      <w:pPr>
        <w:spacing w:after="0" w:line="41" w:lineRule="exact"/>
        <w:rPr>
          <w:sz w:val="20"/>
          <w:szCs w:val="20"/>
          <w:color w:val="auto"/>
        </w:rPr>
      </w:pPr>
    </w:p>
    <w:p>
      <w:pPr>
        <w:jc w:val="center"/>
        <w:ind w:right="55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flow from operating activities to free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Purchase of equipment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Development expenditure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Payment of lease liabilities</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p>
      <w:pPr>
        <w:spacing w:after="0" w:line="200" w:lineRule="exact"/>
        <w:rPr>
          <w:sz w:val="20"/>
          <w:szCs w:val="20"/>
          <w:color w:val="auto"/>
        </w:rPr>
      </w:pP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90,188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91,143</w:t>
            </w:r>
          </w:p>
        </w:tc>
        <w:tc>
          <w:tcPr>
            <w:tcW w:w="60" w:type="dxa"/>
            <w:vAlign w:val="bottom"/>
          </w:tcPr>
          <w:p>
            <w:pPr>
              <w:spacing w:after="0"/>
              <w:rPr>
                <w:sz w:val="15"/>
                <w:szCs w:val="15"/>
                <w:color w:val="auto"/>
              </w:rPr>
            </w:pPr>
          </w:p>
        </w:tc>
      </w:tr>
      <w:tr>
        <w:trPr>
          <w:trHeight w:val="234"/>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spacing w:after="0"/>
              <w:rPr>
                <w:sz w:val="20"/>
                <w:szCs w:val="20"/>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60" w:type="dxa"/>
            <w:vAlign w:val="bottom"/>
          </w:tcPr>
          <w:p>
            <w:pPr>
              <w:spacing w:after="0"/>
              <w:rPr>
                <w:sz w:val="20"/>
                <w:szCs w:val="20"/>
                <w:color w:val="auto"/>
              </w:rPr>
            </w:pPr>
          </w:p>
        </w:tc>
      </w:tr>
      <w:tr>
        <w:trPr>
          <w:trHeight w:val="8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42,145</w:t>
            </w:r>
          </w:p>
        </w:tc>
        <w:tc>
          <w:tcPr>
            <w:tcW w:w="6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09"/>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20" w:space="220"/>
            <w:col w:w="3460"/>
          </w:cols>
          <w:pgMar w:left="320" w:top="630" w:right="379" w:bottom="1440" w:gutter="0" w:footer="0" w:header="0"/>
        </w:sectPr>
      </w:pPr>
    </w:p>
    <w:bookmarkStart w:id="13" w:name="page14"/>
    <w:bookmarkEnd w:id="1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Roman"/>
      <w:start w:val="7"/>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2026-04-28T06:19:13Z</dcterms:created>
  <dcterms:modified xsi:type="dcterms:W3CDTF">2026-04-28T06:19:13Z</dcterms:modified>
</cp:coreProperties>
</file>