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3"/>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28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Press release dated February 26, 2026, titled “Opera Reports Fourth Quarter and Full-Year 2025 Results Ahead of Expectations,</w:t>
            </w:r>
          </w:p>
        </w:tc>
        <w:tc>
          <w:tcPr>
            <w:tcW w:w="7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 xml:space="preserve">Announces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300 Million Share Repurchase Program”</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900" w:type="dxa"/>
            <w:vAlign w:val="bottom"/>
            <w:tcBorders>
              <w:top w:val="single" w:sz="8" w:color="0000FF"/>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700" w:type="dxa"/>
            <w:vAlign w:val="bottom"/>
          </w:tcPr>
          <w:p>
            <w:pPr>
              <w:spacing w:after="0"/>
              <w:rPr>
                <w:sz w:val="16"/>
                <w:szCs w:val="16"/>
                <w:color w:val="auto"/>
              </w:rPr>
            </w:pPr>
          </w:p>
        </w:tc>
        <w:tc>
          <w:tcPr>
            <w:tcW w:w="26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700" w:type="dxa"/>
            <w:vAlign w:val="bottom"/>
          </w:tcPr>
          <w:p>
            <w:pPr>
              <w:spacing w:after="0"/>
              <w:rPr>
                <w:sz w:val="20"/>
                <w:szCs w:val="20"/>
                <w:color w:val="auto"/>
              </w:rPr>
            </w:pP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7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Opera Reports Fourth Quarter and Full-Year 2025 Results Ahead of Expectations, Announces $300 Million Share Repurchase Program</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Fourth quarter revenue increased 22% year-over-year to $177.2 million, exceeding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Fourth quarter adjusted EBITDA was $41.9 million, representing a 24% margin, and also exceeding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full year, revenue increased 28% to 614.8 million and adjusted EBITDA was $142.5 million, representing a 23% margin</w:t>
      </w:r>
    </w:p>
    <w:p>
      <w:pPr>
        <w:spacing w:after="0" w:line="225" w:lineRule="exact"/>
        <w:rPr>
          <w:sz w:val="20"/>
          <w:szCs w:val="20"/>
          <w:color w:val="auto"/>
        </w:rPr>
      </w:pPr>
    </w:p>
    <w:p>
      <w:pPr>
        <w:jc w:val="cente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Initiated 2026 guidance, anticipating full-year revenue of $720 - 735 million (17 - 20% growth) and adjusted EBITDA of $167 - 172 million. First quarter 2026 revenue is guided to $169 - 172 million (18 - 21% growth) with adjusted EBITDA of $38 - 40 million, maintaining a strong 23% margin throughout the year</w:t>
      </w:r>
    </w:p>
    <w:p>
      <w:pPr>
        <w:spacing w:after="0" w:line="173"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Announced major share repurchase program for up to $300 million over two years with pro rata repurchases from public shareholders and its majority shareholder, complementing existing recurring dividend program</w:t>
      </w:r>
    </w:p>
    <w:p>
      <w:pPr>
        <w:spacing w:after="0" w:line="3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OSLO, Norway, February 26, 2026 </w:t>
      </w:r>
      <w:r>
        <w:rPr>
          <w:rFonts w:ascii="Times New Roman" w:cs="Times New Roman" w:eastAsia="Times New Roman" w:hAnsi="Times New Roman"/>
          <w:sz w:val="18"/>
          <w:szCs w:val="18"/>
          <w:color w:val="auto"/>
        </w:rPr>
        <w:t>— Opera Limited (NASDAQ: OPRA), a leading global browser and AI agent company, today announced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quarter and full year ended December 31, 2025.</w:t>
      </w:r>
    </w:p>
    <w:p>
      <w:pPr>
        <w:spacing w:after="0" w:line="13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“2025 was a year of exceptional execution and financial overperformance for Opera. Our results for the fourth quarter yet again exceeded our guidance, with revenue reaching $177.2 million, bringing our full-year revenue to $614.8 million. This represents a remarkable 28% year-over-year increase, driven by successful growth in both advertising and query revenue, fueled by in particular e-commerce and expanding our monetization of user intent. We have paired this rapid growth with strong profitability, generating full-year adjusted EBITDA of $142.5 million. These results demonstrate the strength of our business model as we continue to scale efficiently while returning significant value to our shareholders. To further underscore our strong cash generation and confidence in Opera’s future, our Board has authorized a major $300 million share repurchase program, which will serve as a powerful complement to our recurring dividend,</w:t>
      </w:r>
      <w:r>
        <w:rPr>
          <w:rFonts w:ascii="Times New Roman" w:cs="Times New Roman" w:eastAsia="Times New Roman" w:hAnsi="Times New Roman"/>
          <w:sz w:val="18"/>
          <w:szCs w:val="18"/>
          <w:color w:val="1D1C1D"/>
        </w:rPr>
        <w:t>” said Lin Song, CEO.</w:t>
      </w:r>
    </w:p>
    <w:p>
      <w:pPr>
        <w:spacing w:after="0" w:line="14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“With Opera browsers having always been tailored for the most demanding users, we are excited about our opportunity to create the best orchestration layer possible for end-users to benefit from the rapidly expanding ecosystem of AI platforms and services. We are excited about our industry partnerships in this space, and how we leverage third-party LLMs and our agentic based engine to provide a native AI experience directly from the browser — one that is context-aware while maintaining privacy and control in the hands of our users. We’ve redefined the browsing experience with the launch of two new browsers in 2025, Air and Neon, tailored to distinct audiences in the same way as Opera One and Opera GX. Beyond the browser, our MiniPay wallet has seen explosive growth, reaching 13 million activated wallets. Through our expanded partnership with Tether we are providing seamless financial access and innovative digital utility to emerging markets globally,” continued Mr. Song.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Full-Year 2025 Financial Highlights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 and per share amounts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145,833</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177,210</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480,648</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614,825</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28,688</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55,705</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94%</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80,771</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108,282</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income margin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31%</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18%</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net income </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24,759</w:t>
            </w:r>
          </w:p>
        </w:tc>
        <w:tc>
          <w:tcPr>
            <w:tcW w:w="2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27,357</w:t>
            </w:r>
          </w:p>
        </w:tc>
        <w:tc>
          <w:tcPr>
            <w:tcW w:w="2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86,093</w:t>
            </w:r>
          </w:p>
        </w:tc>
        <w:tc>
          <w:tcPr>
            <w:tcW w:w="220" w:type="dxa"/>
            <w:vAlign w:val="bottom"/>
          </w:tcPr>
          <w:p>
            <w:pPr>
              <w:spacing w:after="0"/>
              <w:rPr>
                <w:sz w:val="17"/>
                <w:szCs w:val="17"/>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102,069</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Adjusted net income margin</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17%</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15%</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18%</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17%</w:t>
            </w: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32,993</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41,890</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115,309</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142,530</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24%</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23%</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2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spacing w:after="0"/>
              <w:rPr>
                <w:sz w:val="17"/>
                <w:szCs w:val="17"/>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diluted earnings per share </w:t>
            </w:r>
            <w:r>
              <w:rPr>
                <w:rFonts w:ascii="Times New Roman" w:cs="Times New Roman" w:eastAsia="Times New Roman" w:hAnsi="Times New Roman"/>
                <w:sz w:val="21"/>
                <w:szCs w:val="21"/>
                <w:color w:val="auto"/>
                <w:vertAlign w:val="superscript"/>
              </w:rPr>
              <w:t>(1)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 from operating activities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21,643</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40,210</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104,977</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117,728</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As percentage of adjusted EBITDA</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66%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96%</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83%</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Free cash flow from operations </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2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35,350</w:t>
            </w:r>
          </w:p>
        </w:tc>
        <w:tc>
          <w:tcPr>
            <w:tcW w:w="2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70,190</w:t>
            </w:r>
          </w:p>
        </w:tc>
        <w:tc>
          <w:tcPr>
            <w:tcW w:w="220" w:type="dxa"/>
            <w:vAlign w:val="bottom"/>
          </w:tcPr>
          <w:p>
            <w:pPr>
              <w:spacing w:after="0"/>
              <w:rPr>
                <w:sz w:val="17"/>
                <w:szCs w:val="17"/>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97,707</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As percentage of adjusted EBITDA</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56%</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84%</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61%</w:t>
            </w: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69%</w:t>
            </w: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80" w:right="280" w:hanging="372"/>
        <w:spacing w:after="0" w:line="280"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sections below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Reconciliations of 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for explanations and reconciliations of non-IFRS financial measures.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2025 and Recent Business Highlights</w:t>
      </w:r>
    </w:p>
    <w:p>
      <w:pPr>
        <w:spacing w:after="0" w:line="121" w:lineRule="exact"/>
        <w:rPr>
          <w:sz w:val="20"/>
          <w:szCs w:val="20"/>
          <w:color w:val="auto"/>
        </w:rPr>
      </w:pPr>
    </w:p>
    <w:p>
      <w:pPr>
        <w:ind w:left="760" w:right="7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grew 25% year-over-year to $114.4 million, representing 65% of total revenue. Advertising revenue was driven by continued strong momentum from e-commerce partners, which remained the fastest-growing vertical.</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Query revenue grew 16% year-over-year to $62.3 million, accounting for 35% of total revenue and benefiting from over 200% growth in non-search query revenue.</w:t>
      </w:r>
    </w:p>
    <w:p>
      <w:pPr>
        <w:spacing w:after="0" w:line="53"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had 284 million average monthly active users (“MAUs”) in the quarter, with annualized average revenue per user (“ARPU”) of $2.49, an increase of 26% versus the fourth quarter of 2024. During the quarter Opera added 2 million Western Market MAUs, bringing the total to 60 million.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 GX gaming browser had 34 million average MAUs in the quarter across PC and mobile, up 1.5 million versus the prior quarter.</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AI capabilities powered by Google’s latest Gemini models were added to Opera One, Opera GX, and Opera Neon, delivering faster and improved AI features to over 80 million PC browser users.</w:t>
      </w:r>
    </w:p>
    <w:p>
      <w:pPr>
        <w:spacing w:after="0" w:line="53" w:lineRule="exact"/>
        <w:rPr>
          <w:rFonts w:ascii="Times New Roman" w:cs="Times New Roman" w:eastAsia="Times New Roman" w:hAnsi="Times New Roman"/>
          <w:sz w:val="18"/>
          <w:szCs w:val="18"/>
          <w:color w:val="auto"/>
        </w:rPr>
      </w:pPr>
    </w:p>
    <w:p>
      <w:pPr>
        <w:ind w:left="760" w:right="260" w:hanging="378"/>
        <w:spacing w:after="0" w:line="281"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 announced an expansion of USDT and Tether Gold support within MiniPay, helping millions of users gain stable, dollar denominated access to value and savings. MiniPay’s rapid growth to over 13 million activated wallets and 360 million completed peer-to-peer transactions. This milestone coincided with the rollout of the "Pay like a local" feature in Latin America, enabling users to make direct, real-time payments from stablecoin balances to key local platforms Mercado Pago and PIX, bridging the gap between digital assets and everyday utility.</w:t>
      </w:r>
    </w:p>
    <w:p>
      <w:pPr>
        <w:spacing w:after="0" w:line="56" w:lineRule="exact"/>
        <w:rPr>
          <w:rFonts w:ascii="Times New Roman" w:cs="Times New Roman" w:eastAsia="Times New Roman" w:hAnsi="Times New Roman"/>
          <w:sz w:val="17"/>
          <w:szCs w:val="17"/>
          <w:color w:val="auto"/>
        </w:rPr>
      </w:pPr>
    </w:p>
    <w:p>
      <w:pPr>
        <w:ind w:left="760" w:right="34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 from operating activities was $40.2 million, representing 96% of adjusted EBITDA. At quarter-end, cash and cash equivalents totaled $155.5 million.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of $0.40 per share under our semi-annual dividend program was announced in December and paid in January.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Authorization of $300 Million Share Repurchase Program</w:t>
      </w:r>
    </w:p>
    <w:p>
      <w:pPr>
        <w:spacing w:after="0" w:line="20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Opera’s Board of Directors has authorized a share repurchase program of up to $300 million, effective immediately and available for a two-year period. Under this program, the Company will repurchase its American Depositary Shares (ADSs) from the public market, as well as pro-rata purchases of ordinary shares from its majority shareholder. As a result, the public free float will continue to represent the same percentage ownership of Opera.</w:t>
      </w:r>
    </w:p>
    <w:p>
      <w:pPr>
        <w:spacing w:after="0" w:line="13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Under the terms of the program, Opera’s management is authorized to execute repurchases in any form it deems appropriate. The program does not obligate any repurchases and may be modified at the discretion of Opera’s Board of Directors at any time.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ind w:right="480"/>
        <w:spacing w:after="0" w:line="282" w:lineRule="auto"/>
        <w:rPr>
          <w:sz w:val="20"/>
          <w:szCs w:val="20"/>
          <w:color w:val="auto"/>
        </w:rPr>
      </w:pPr>
      <w:r>
        <w:rPr>
          <w:rFonts w:ascii="Times New Roman" w:cs="Times New Roman" w:eastAsia="Times New Roman" w:hAnsi="Times New Roman"/>
          <w:sz w:val="18"/>
          <w:szCs w:val="18"/>
          <w:color w:val="auto"/>
        </w:rPr>
        <w:t>program will be funded by Opera's operational cash generation and strong balance sheet. Opera remains fully committed to its semi-annual recurring dividend program, alongside the newly authorized share repurchases.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2025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in this section are relative to the fourth quarter of 2024 unless otherwise stated.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22% to $177.2 million.</w:t>
      </w:r>
    </w:p>
    <w:p>
      <w:pPr>
        <w:spacing w:after="0" w:line="12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25% to $114.4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Query revenue increased 16% to $62.3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licensing and other revenue was $0.5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increased 25% to $148.1 million.</w:t>
      </w:r>
    </w:p>
    <w:p>
      <w:pPr>
        <w:spacing w:after="0" w:line="121" w:lineRule="exact"/>
        <w:rPr>
          <w:sz w:val="20"/>
          <w:szCs w:val="20"/>
          <w:color w:val="auto"/>
        </w:rPr>
      </w:pPr>
    </w:p>
    <w:p>
      <w:pPr>
        <w:ind w:left="760" w:right="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technology and platform fees, content cost and cost of inventory sold, all being costs of revenue, was $66.3 million, or 37% of revenue.</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excluding share-based compensation increased 31% to $21.9 million due to quarterly fluctuations, with an annual expense of $79.0 million representing a 13% increase versus 2024.</w:t>
      </w:r>
    </w:p>
    <w:p>
      <w:pPr>
        <w:spacing w:after="0" w:line="5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amounted to $7.5 million, a 603% increase versus $1.1 million in the fourth quarter of 2024, with an annual expense of $31.3 million representing a 222% increase versus 2024. The increase follows the granting of approximately 1.9 million share-equivalent RSUs in early 2025 and front-loaded cost recognition of multi-year grants.</w:t>
      </w:r>
    </w:p>
    <w:p>
      <w:pPr>
        <w:spacing w:after="0" w:line="6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expenses decreased 7% to $38.1 million due to quarterly fluctuations, with an annual expense of $142.2 million representing an 8% increase versus 2024.</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increased 13% to $4.9 million, with an annual expense of $18.9 million representing a 21% increase versus 2024.</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expenses increased 25% to $9.4 million, mostly due to higher network and infrastructure costs and quarterly fluctuations, with an annual expense of $32.5 million representing a 5% increase versus 2024.</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$28.5 million, representing a 16% margin, compared to an operating profit of $27.6 million and a margin of 19%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finance loss </w:t>
      </w:r>
      <w:r>
        <w:rPr>
          <w:rFonts w:ascii="Times New Roman" w:cs="Times New Roman" w:eastAsia="Times New Roman" w:hAnsi="Times New Roman"/>
          <w:sz w:val="18"/>
          <w:szCs w:val="18"/>
          <w:color w:val="auto"/>
        </w:rPr>
        <w:t>was $1.0 million, a result of foreign exchange loss of $1.8 million, partially offset by $0.8 million in net interest income.</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$8.4 million, corresponding to an effective tax rate of 13%, and representing 20% of adjusted EBITDA. This compares to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expense of $5.3 million in the fourth quarter of 2024, representing 16% of adjusted EBITDA. On a full year basis, income tax expense was $16.9 million or 12% of adjusted EBITDA, compared to $17.6 million or 15% of adjusted EBITDA in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$55.7 million, representing a 31% margin, compared to net income of $28.7 million and a margin of 20% in the fourth quarter of 2024.</w:t>
      </w:r>
    </w:p>
    <w:p>
      <w:pPr>
        <w:spacing w:after="0" w:line="19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was $27.4 million, representing a 15% margin and an increase of 10% relative to $24.8 million and a 17% margin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$41.9 million, representing a 24% margin and an increase of 27% relative to $33.0 million and a 23% margin in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earnings per share </w:t>
      </w:r>
      <w:r>
        <w:rPr>
          <w:rFonts w:ascii="Times New Roman" w:cs="Times New Roman" w:eastAsia="Times New Roman" w:hAnsi="Times New Roman"/>
          <w:sz w:val="18"/>
          <w:szCs w:val="18"/>
          <w:color w:val="auto"/>
        </w:rPr>
        <w:t>was $0.61, whereas</w:t>
      </w:r>
      <w:r>
        <w:rPr>
          <w:rFonts w:ascii="Times New Roman" w:cs="Times New Roman" w:eastAsia="Times New Roman" w:hAnsi="Times New Roman"/>
          <w:sz w:val="18"/>
          <w:szCs w:val="18"/>
          <w:b w:val="1"/>
          <w:bCs w:val="1"/>
          <w:color w:val="auto"/>
        </w:rPr>
        <w:t xml:space="preserve"> adjusted diluted earnings per share </w:t>
      </w:r>
      <w:r>
        <w:rPr>
          <w:rFonts w:ascii="Times New Roman" w:cs="Times New Roman" w:eastAsia="Times New Roman" w:hAnsi="Times New Roman"/>
          <w:sz w:val="18"/>
          <w:szCs w:val="18"/>
          <w:color w:val="auto"/>
        </w:rPr>
        <w:t>was $0.30.</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flow from operating activities </w:t>
      </w:r>
      <w:r>
        <w:rPr>
          <w:rFonts w:ascii="Times New Roman" w:cs="Times New Roman" w:eastAsia="Times New Roman" w:hAnsi="Times New Roman"/>
          <w:sz w:val="18"/>
          <w:szCs w:val="18"/>
          <w:color w:val="auto"/>
        </w:rPr>
        <w:t>was $40.2 million, or 96% of adjusted EBITDA.</w:t>
      </w:r>
      <w:r>
        <w:rPr>
          <w:rFonts w:ascii="Times New Roman" w:cs="Times New Roman" w:eastAsia="Times New Roman" w:hAnsi="Times New Roman"/>
          <w:sz w:val="18"/>
          <w:szCs w:val="18"/>
          <w:b w:val="1"/>
          <w:bCs w:val="1"/>
          <w:color w:val="auto"/>
        </w:rPr>
        <w:t xml:space="preserve"> Free cash flow from operations </w:t>
      </w:r>
      <w:r>
        <w:rPr>
          <w:rFonts w:ascii="Times New Roman" w:cs="Times New Roman" w:eastAsia="Times New Roman" w:hAnsi="Times New Roman"/>
          <w:sz w:val="18"/>
          <w:szCs w:val="18"/>
          <w:color w:val="auto"/>
        </w:rPr>
        <w:t>was $35.4 million, or 84%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First Quarter 2026 Guidance</w:t>
            </w:r>
          </w:p>
        </w:tc>
        <w:tc>
          <w:tcPr>
            <w:tcW w:w="320" w:type="dxa"/>
            <w:vAlign w:val="bottom"/>
          </w:tcPr>
          <w:p>
            <w:pPr>
              <w:spacing w:after="0"/>
              <w:rPr>
                <w:sz w:val="18"/>
                <w:szCs w:val="18"/>
                <w:color w:val="auto"/>
              </w:rPr>
            </w:pPr>
          </w:p>
        </w:tc>
        <w:tc>
          <w:tcPr>
            <w:tcW w:w="2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Full-Year 2026 Guidance</w:t>
            </w:r>
          </w:p>
        </w:tc>
        <w:tc>
          <w:tcPr>
            <w:tcW w:w="280" w:type="dxa"/>
            <w:vAlign w:val="bottom"/>
          </w:tcPr>
          <w:p>
            <w:pPr>
              <w:spacing w:after="0"/>
              <w:rPr>
                <w:sz w:val="18"/>
                <w:szCs w:val="18"/>
                <w:color w:val="auto"/>
              </w:rPr>
            </w:pPr>
          </w:p>
        </w:tc>
      </w:tr>
      <w:tr>
        <w:trPr>
          <w:trHeight w:val="21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$169 – 172 million</w:t>
            </w:r>
          </w:p>
        </w:tc>
        <w:tc>
          <w:tcPr>
            <w:tcW w:w="3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$720 – 735 million</w:t>
            </w:r>
          </w:p>
        </w:tc>
      </w:tr>
      <w:tr>
        <w:trPr>
          <w:trHeight w:val="164"/>
        </w:trPr>
        <w:tc>
          <w:tcPr>
            <w:tcW w:w="5020" w:type="dxa"/>
            <w:vAlign w:val="bottom"/>
          </w:tcPr>
          <w:p>
            <w:pPr>
              <w:spacing w:after="0" w:line="164" w:lineRule="exact"/>
              <w:rPr>
                <w:sz w:val="20"/>
                <w:szCs w:val="20"/>
                <w:color w:val="auto"/>
              </w:rPr>
            </w:pPr>
            <w:r>
              <w:rPr>
                <w:rFonts w:ascii="Times New Roman" w:cs="Times New Roman" w:eastAsia="Times New Roman" w:hAnsi="Times New Roman"/>
                <w:sz w:val="18"/>
                <w:szCs w:val="18"/>
                <w:i w:val="1"/>
                <w:iCs w:val="1"/>
                <w:color w:val="auto"/>
              </w:rPr>
              <w:t>Year-over-year revenue growth</w:t>
            </w:r>
          </w:p>
        </w:tc>
        <w:tc>
          <w:tcPr>
            <w:tcW w:w="314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i w:val="1"/>
                <w:iCs w:val="1"/>
                <w:color w:val="auto"/>
              </w:rPr>
              <w:t xml:space="preserve">18 </w:t>
            </w:r>
            <w:r>
              <w:rPr>
                <w:rFonts w:ascii="Times New Roman" w:cs="Times New Roman" w:eastAsia="Times New Roman" w:hAnsi="Times New Roman"/>
                <w:sz w:val="18"/>
                <w:szCs w:val="18"/>
                <w:color w:val="auto"/>
              </w:rPr>
              <w:t>– 21</w:t>
            </w:r>
            <w:r>
              <w:rPr>
                <w:rFonts w:ascii="Times New Roman" w:cs="Times New Roman" w:eastAsia="Times New Roman" w:hAnsi="Times New Roman"/>
                <w:sz w:val="18"/>
                <w:szCs w:val="18"/>
                <w:i w:val="1"/>
                <w:iCs w:val="1"/>
                <w:color w:val="auto"/>
              </w:rPr>
              <w:t xml:space="preserve"> %</w:t>
            </w:r>
          </w:p>
        </w:tc>
        <w:tc>
          <w:tcPr>
            <w:tcW w:w="308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i w:val="1"/>
                <w:iCs w:val="1"/>
                <w:color w:val="auto"/>
              </w:rPr>
              <w:t xml:space="preserve">17 </w:t>
            </w:r>
            <w:r>
              <w:rPr>
                <w:rFonts w:ascii="Times New Roman" w:cs="Times New Roman" w:eastAsia="Times New Roman" w:hAnsi="Times New Roman"/>
                <w:sz w:val="18"/>
                <w:szCs w:val="18"/>
                <w:color w:val="auto"/>
              </w:rPr>
              <w:t>– 20</w:t>
            </w:r>
            <w:r>
              <w:rPr>
                <w:rFonts w:ascii="Times New Roman" w:cs="Times New Roman" w:eastAsia="Times New Roman" w:hAnsi="Times New Roman"/>
                <w:sz w:val="18"/>
                <w:szCs w:val="18"/>
                <w:i w:val="1"/>
                <w:iCs w:val="1"/>
                <w:color w:val="auto"/>
              </w:rPr>
              <w:t>%</w:t>
            </w:r>
          </w:p>
        </w:tc>
      </w:tr>
      <w:tr>
        <w:trPr>
          <w:trHeight w:val="214"/>
        </w:trPr>
        <w:tc>
          <w:tcPr>
            <w:tcW w:w="502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3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 – 40 million</w:t>
            </w:r>
          </w:p>
        </w:tc>
        <w:tc>
          <w:tcPr>
            <w:tcW w:w="3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 – 172 million</w:t>
            </w:r>
          </w:p>
        </w:tc>
      </w:tr>
      <w:tr>
        <w:trPr>
          <w:trHeight w:val="252"/>
        </w:trPr>
        <w:tc>
          <w:tcPr>
            <w:tcW w:w="5020" w:type="dxa"/>
            <w:vAlign w:val="bottom"/>
          </w:tcPr>
          <w:p>
            <w:pPr>
              <w:spacing w:after="0" w:line="251" w:lineRule="exact"/>
              <w:rPr>
                <w:sz w:val="20"/>
                <w:szCs w:val="20"/>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24"/>
                <w:szCs w:val="24"/>
                <w:i w:val="1"/>
                <w:iCs w:val="1"/>
                <w:color w:val="auto"/>
                <w:vertAlign w:val="superscript"/>
              </w:rPr>
              <w:t>(2)</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23%</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below titled “Non-IFRS Financial Measures” for explanations of non-IFRS financial measures.</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for adjusted EBITDA margin have been calculated based on the midpoints of the revenue and adjusted EBITDA guidance.</w:t>
      </w:r>
    </w:p>
    <w:p>
      <w:pPr>
        <w:spacing w:after="0" w:line="18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initial guidance for 2025 was for growth of 17%, after which our steady cadence of overperformance added $52 million of revenue as the year progressed, or 11 percentage points of growth. While we are very pleased with our 2025 performance, we are still early in realizing our potential. As we embark on a new year, we are excited by both the quality and potential of our products, and our opportunities to continue growing our financial results,” said Frode Jacobsen, CFO.</w:t>
      </w:r>
    </w:p>
    <w:p>
      <w:pPr>
        <w:spacing w:after="0" w:line="13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ability to launch a major share repurchase program, on top of an already meaningful recurring dividend, only highlights the attractiveness of our operating model, strong balance sheet and commitment to shareholder returns. In fact, the program's size is greater than all our previous repurchases combined, and represents a compelling ROI opportunity for our shareholders,” continued Mr. Jacobsen.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Information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Opera’s management will host a conference call to discuss the fourth quarter 2025 financial results at 8:00 a.m. ET today. The live webcast of the conference call can be accessed at our investor relations website at investor.opera.com, along with the earnings press release and financial tables. Following the call, a replay will be available at the same website.</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also provide announcements on our investor relations website at investor.opera.com regarding our financial performance and other matters, including SEC filings, press releases, slide presentations, business blog posts and information on 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Non-IFRS Financial Measures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revenue, net income, net cash flow from operating activities and other financial measures presented in accordance with IFRS Accounting Standards, we use adjusted net income, adjusted EBITDA, adjusted diluted earnings per share and free cash flow from operations to manage our business, make planning decisions, evaluate our performance, and allocate resources. We believe adjusted net income, adjusted EBITDA and adjusted diluted earnings per share provide meaningful supplemental information regarding our financial performance by excluding certain items that may not be indicative of recurring core business operating results. We believe free cash flow from operations provides useful information regarding our ability to generate cash from business operations that is available for acquisitions and other investments, and for distributions to our shareholders, even though free cash flow from operations does not represent the residual cash flow available for discretionary expenditures.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excluding (i) profit (loss) from discontinued operations, (ii) gain (loss) on investments in unconsolidated entities, (iii) non-recurring expenses, (iv) impairment of non-financial assets, (v) amortization of acquired intangible assets, (vi) share-based compensation expenses, and (vii) the income tax effect of these adjustments. Adjusted net income margin is calculated as adjusted net income divided by revenue, whereas adjusted diluted earnings per share is calculated as adjusted net income divided by the diluted weighted average number of shares outstanding.</w:t>
      </w:r>
    </w:p>
    <w:p>
      <w:pPr>
        <w:spacing w:after="0" w:line="15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excluding (i) profit (loss) from discontinued operations, (ii) income tax expense, (iii) net finance income (expense), (iv) gain (loss) on long-term investments in unconsolidated entities, (v) non-recurring expenses, (vi) impairment of non-financial assets, (vii) depreciation and amortization, (viii) share-based compensation expenses, and (ix) other operating income. Adjusted EBITDA margin is calculated as adjusted EBITDA divided by revenue.</w:t>
      </w:r>
    </w:p>
    <w:p>
      <w:pPr>
        <w:spacing w:after="0" w:line="13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define free cash flow from operations as net cash flows from (used in) operating activities less (i) purchases of fixed and intangible assets, (ii) development expenditure and (iii) payment of lease liabilities.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believe the non-IFRS financial measures defined above are useful to investors both because they allow for greater transparency with respect to key metrics used by management in its financial and operational decision-making and because they are used by our institutional investors and the analyst community to help them analyze the health of our business. However, these non-IFRS financial measures should not be considered substitutes for, or superior to, the financial information presented in accordance with IFRS Accounting Standards. Our calculations of adjusted net income, adjusted EBITDA, adjusted diluted earnings per share and free cash flow from operations may differ from similarly-titled non-IFRS measures, if any, reported by our peers. In addition, the non-IFRS financial measures may be limited in their usefulness because they do not present the full economic effects of certain items of income, expenses and cash flows. We compensate for these limitations by providing reconciliations of our non-IFRS financial measures to the</w:t>
      </w:r>
    </w:p>
    <w:p>
      <w:pPr>
        <w:sectPr>
          <w:pgSz w:w="11900" w:h="16838" w:orient="portrait"/>
          <w:cols w:equalWidth="0" w:num="1">
            <w:col w:w="11240"/>
          </w:cols>
          <w:pgMar w:left="320" w:top="819"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7" w:name="page8"/>
    <w:bookmarkEnd w:id="7"/>
    <w:p>
      <w:pPr>
        <w:ind w:right="100"/>
        <w:spacing w:after="0" w:line="266" w:lineRule="auto"/>
        <w:rPr>
          <w:sz w:val="20"/>
          <w:szCs w:val="20"/>
          <w:color w:val="auto"/>
        </w:rPr>
      </w:pPr>
      <w:r>
        <w:rPr>
          <w:rFonts w:ascii="Times New Roman" w:cs="Times New Roman" w:eastAsia="Times New Roman" w:hAnsi="Times New Roman"/>
          <w:sz w:val="18"/>
          <w:szCs w:val="18"/>
          <w:color w:val="auto"/>
        </w:rPr>
        <w:t>most closely related financial measures in IFRS Accounting Standards in the section titled “Reconciliations of Non-IFRS Financial Measures” included at the end of this earnings press release. We encourage investors and others to review our financial information in its entirety, not to rely on any single financial measure and to view our reported non-IFRS financial measures in conjunction with net income and net cash flow from operating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include, but are not limited to, statements relating to our expectations regarding our business, strategy, products, services, outlook and guidance. Forward-looking statements are based on management’s current expectations and assumptions and are subject to risks and uncertainties that could cause actual results to differ materially from those expressed or implied by the forward-looking statements.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include, among others: (i) our ability to attract, retain, and engage users and to increase ARPU; (ii) changes in macroeconomic conditions and advertising demand; (iii) our ability to maintain and improve monetization from query and revenue-sharing arrangements, including dependence on major partners and changes in their commercial terms, policies, algorithms, or distribution mechanics; (iv) changes by platform providers (including mobile operating systems, browsers, app stores, and device manufacturers) that could affect distribution, product functionality, data access, attribution, or monetization; (v) competition in browsers, AI-enabled user experiences, digital advertising, and consumer internet products; (vi) the successful development, deployment, adoption, and monetization of new products and features, including AI initiatives, and the costs and risks associated with them; (vii) privacy, data protection, consumer protection, competition/antitrust, online safety, and other laws and regulations (including changes in interpretation, enforcement, or compliance obligations) and related litigation or regulatory inquiries; (viii) security incidents, service disruptions, outages, and failures of our or third parties’ systems; (ix) our ability to manage operational, technical, and infrastructure costs, including hosting and distribution costs, and to scale effectively; (x) foreign currency exchange rate fluctuations and other market volatility; (xi) geopolitical events, sanctions, or restrictions affecting the markets in which we operate; (xii) our ability to attract and retain key personnel; and (xiii) other risks and uncertainties described under “Risk Factors” in our most recent Annual Report on Form 20-F and in our other filings and submissions with the U.S. Securities and Exchange Commission.</w:t>
      </w:r>
    </w:p>
    <w:p>
      <w:pPr>
        <w:spacing w:after="0" w:line="147"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devices. Hundreds of millions worldwide use Opera’s mobile and desktop browsers for their speed, security, and unique features, enhanced with integrated AI that enables users to navigate and interact with the web in new transformative ways. Founded in 1995 and headquartered in Oslo, Norway, Opera is listed on the Nasdaq stock exchange under the ticker symbol “OPRA”. Download Opera products from opera.com and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6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2"/>
        </w:trPr>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left="2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145,833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177,210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614,825</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(10,010)</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(9,312)</w:t>
            </w: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Content cost</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(3,891)</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(6,066)</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inventory sold</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(118,658)</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(205,127)</w:t>
            </w: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(16,708)</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(69,940)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(78,994)</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(9,718)</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(31,273)</w:t>
            </w: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(40,943)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(38,127)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(131,951)</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(142,218)</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expense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(4,353)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(15,582)</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(18,861)</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(7,950)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(31,674)</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(31,291)</w:t>
            </w:r>
          </w:p>
        </w:tc>
      </w:tr>
      <w:tr>
        <w:trPr>
          <w:trHeight w:val="20"/>
        </w:trPr>
        <w:tc>
          <w:tcPr>
            <w:tcW w:w="50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(390,753)</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(524,375)</w:t>
            </w:r>
          </w:p>
        </w:tc>
      </w:tr>
      <w:tr>
        <w:trPr>
          <w:trHeight w:val="209"/>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92,262</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expense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(1,839)</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(4,108)</w:t>
            </w:r>
          </w:p>
        </w:tc>
      </w:tr>
      <w:tr>
        <w:trPr>
          <w:trHeight w:val="20"/>
        </w:trPr>
        <w:tc>
          <w:tcPr>
            <w:tcW w:w="50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(17,642)</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(16,934)</w:t>
            </w:r>
          </w:p>
        </w:tc>
      </w:tr>
      <w:tr>
        <w:trPr>
          <w:trHeight w:val="250"/>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8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55,705</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88,463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89,555</w:t>
            </w:r>
          </w:p>
        </w:tc>
        <w:tc>
          <w:tcPr>
            <w:tcW w:w="120" w:type="dxa"/>
            <w:vAlign w:val="bottom"/>
            <w:shd w:val="clear" w:color="auto" w:fill="CFF0FC"/>
          </w:tcPr>
          <w:p>
            <w:pPr>
              <w:spacing w:after="0"/>
              <w:rPr>
                <w:sz w:val="18"/>
                <w:szCs w:val="18"/>
                <w:color w:val="auto"/>
              </w:rPr>
            </w:pPr>
          </w:p>
        </w:tc>
      </w:tr>
      <w:tr>
        <w:trPr>
          <w:trHeight w:val="234"/>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90,956</w:t>
            </w:r>
          </w:p>
        </w:tc>
        <w:tc>
          <w:tcPr>
            <w:tcW w:w="120" w:type="dxa"/>
            <w:vAlign w:val="bottom"/>
          </w:tcPr>
          <w:p>
            <w:pPr>
              <w:spacing w:after="0"/>
              <w:rPr>
                <w:sz w:val="20"/>
                <w:szCs w:val="20"/>
                <w:color w:val="auto"/>
              </w:rPr>
            </w:pPr>
          </w:p>
        </w:tc>
      </w:tr>
      <w:tr>
        <w:trPr>
          <w:trHeight w:val="607"/>
        </w:trPr>
        <w:tc>
          <w:tcPr>
            <w:tcW w:w="500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 Limited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7580" w:type="dxa"/>
            <w:vAlign w:val="bottom"/>
            <w:gridSpan w:val="7"/>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Comprehensive Income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7120" w:type="dxa"/>
            <w:vAlign w:val="bottom"/>
            <w:gridSpan w:val="5"/>
          </w:tcPr>
          <w:p>
            <w:pPr>
              <w:jc w:val="center"/>
              <w:ind w:left="4050"/>
              <w:spacing w:after="0"/>
              <w:rPr>
                <w:sz w:val="20"/>
                <w:szCs w:val="20"/>
                <w:color w:val="auto"/>
              </w:rPr>
            </w:pPr>
            <w:r>
              <w:rPr>
                <w:rFonts w:ascii="Times New Roman" w:cs="Times New Roman" w:eastAsia="Times New Roman" w:hAnsi="Times New Roman"/>
                <w:sz w:val="18"/>
                <w:szCs w:val="18"/>
                <w:i w:val="1"/>
                <w:iCs w:val="1"/>
                <w:color w:val="auto"/>
              </w:rPr>
              <w:t>(In thousands, unaudited)</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3"/>
        </w:trPr>
        <w:tc>
          <w:tcPr>
            <w:tcW w:w="5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5"/>
        </w:trPr>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left="2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Reclassification of exchange differences on loss of control</w:t>
            </w:r>
          </w:p>
        </w:tc>
        <w:tc>
          <w:tcPr>
            <w:tcW w:w="8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tcPr>
          <w:p>
            <w:pPr>
              <w:spacing w:after="0"/>
              <w:rPr>
                <w:sz w:val="18"/>
                <w:szCs w:val="18"/>
                <w:color w:val="auto"/>
              </w:rPr>
            </w:pPr>
          </w:p>
        </w:tc>
      </w:tr>
      <w:tr>
        <w:trPr>
          <w:trHeight w:val="250"/>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Opera shareholders</w:t>
            </w:r>
          </w:p>
        </w:tc>
        <w:tc>
          <w:tcPr>
            <w:tcW w:w="8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601"/>
        </w:trPr>
        <w:tc>
          <w:tcPr>
            <w:tcW w:w="5000" w:type="dxa"/>
            <w:vAlign w:val="bottom"/>
          </w:tcPr>
          <w:p>
            <w:pPr>
              <w:spacing w:after="0"/>
              <w:rPr>
                <w:sz w:val="24"/>
                <w:szCs w:val="24"/>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8"/>
              </w:rPr>
              <w:t>6</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6"/>
        </w:trPr>
        <w:tc>
          <w:tcPr>
            <w:tcW w:w="5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-5648325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-5648325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-5648325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-5648325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-5356860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-5356860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-5356860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-5356860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-4525645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-4525645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-4525645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-4525645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-4234180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-4234180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-4234180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-4234180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-3942715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-3925570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-3942715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-3925570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-3942715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-3925570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-3942715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-3925570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-1045210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-1045210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-736600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-736600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-736600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OPay</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Equity-accounted investments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investments and financial assets</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9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823,681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863,792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9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1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1,143,251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FF0FC"/>
            </w:tcBorders>
          </w:tcPr>
          <w:p>
            <w:pPr>
              <w:spacing w:after="0"/>
              <w:rPr>
                <w:sz w:val="17"/>
                <w:szCs w:val="17"/>
                <w:color w:val="auto"/>
              </w:rPr>
            </w:pPr>
          </w:p>
        </w:tc>
        <w:tc>
          <w:tcPr>
            <w:tcW w:w="29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3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shares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(238,815)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(238,815)</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equity attributable to Opera shareholders</w:t>
            </w:r>
          </w:p>
        </w:tc>
        <w:tc>
          <w:tcPr>
            <w:tcW w:w="29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940,100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1,010,716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8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7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-4568190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-4011295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-3719830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-3702685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-2588260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-2030730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-1190625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-899795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twelve months ended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80" w:type="dxa"/>
            <w:vAlign w:val="bottom"/>
          </w:tcPr>
          <w:p>
            <w:pPr>
              <w:spacing w:after="0"/>
              <w:rPr>
                <w:sz w:val="14"/>
                <w:szCs w:val="14"/>
                <w:color w:val="auto"/>
              </w:rPr>
            </w:pPr>
          </w:p>
        </w:tc>
        <w:tc>
          <w:tcPr>
            <w:tcW w:w="112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translation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Opera</w:t>
            </w:r>
          </w:p>
        </w:tc>
      </w:tr>
      <w:tr>
        <w:trPr>
          <w:trHeight w:val="183"/>
        </w:trPr>
        <w:tc>
          <w:tcPr>
            <w:tcW w:w="3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6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reserve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87,518,284</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717,610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445,164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(4,127)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919,850</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80,771</w:t>
            </w:r>
          </w:p>
        </w:tc>
        <w:tc>
          <w:tcPr>
            <w:tcW w:w="100" w:type="dxa"/>
            <w:vAlign w:val="bottom"/>
          </w:tcPr>
          <w:p>
            <w:pPr>
              <w:spacing w:after="0"/>
              <w:rPr>
                <w:sz w:val="17"/>
                <w:szCs w:val="17"/>
                <w:color w:val="auto"/>
              </w:rPr>
            </w:pPr>
          </w:p>
        </w:tc>
      </w:tr>
      <w:tr>
        <w:trPr>
          <w:trHeight w:val="203"/>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(811)</w:t>
            </w: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10,689</w:t>
            </w:r>
          </w:p>
        </w:tc>
        <w:tc>
          <w:tcPr>
            <w:tcW w:w="100" w:type="dxa"/>
            <w:vAlign w:val="bottom"/>
          </w:tcPr>
          <w:p>
            <w:pPr>
              <w:spacing w:after="0"/>
              <w:rPr>
                <w:sz w:val="17"/>
                <w:szCs w:val="17"/>
                <w:color w:val="auto"/>
              </w:rPr>
            </w:pPr>
          </w:p>
        </w:tc>
      </w:tr>
      <w:tr>
        <w:trPr>
          <w:trHeight w:val="189"/>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961,870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(70,398)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(70,398)</w:t>
            </w:r>
          </w:p>
        </w:tc>
      </w:tr>
      <w:tr>
        <w:trPr>
          <w:trHeight w:val="20"/>
        </w:trPr>
        <w:tc>
          <w:tcPr>
            <w:tcW w:w="3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88,480,154</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647,212</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536,623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(4,938)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940,100</w:t>
            </w:r>
          </w:p>
        </w:tc>
        <w:tc>
          <w:tcPr>
            <w:tcW w:w="100" w:type="dxa"/>
            <w:vAlign w:val="bottom"/>
            <w:shd w:val="clear" w:color="auto" w:fill="CFF0FC"/>
          </w:tcPr>
          <w:p>
            <w:pPr>
              <w:spacing w:after="0"/>
              <w:rPr>
                <w:sz w:val="18"/>
                <w:szCs w:val="18"/>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twelve months ended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11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00" w:type="dxa"/>
            <w:vAlign w:val="bottom"/>
          </w:tcPr>
          <w:p>
            <w:pPr>
              <w:spacing w:after="0"/>
              <w:rPr>
                <w:sz w:val="14"/>
                <w:szCs w:val="14"/>
                <w:color w:val="auto"/>
              </w:rPr>
            </w:pPr>
          </w:p>
        </w:tc>
        <w:tc>
          <w:tcPr>
            <w:tcW w:w="78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1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6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Opera</w:t>
            </w:r>
          </w:p>
        </w:tc>
      </w:tr>
      <w:tr>
        <w:trPr>
          <w:trHeight w:val="183"/>
        </w:trPr>
        <w:tc>
          <w:tcPr>
            <w:tcW w:w="32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4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reserve</w:t>
            </w: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88,480,154</w:t>
            </w:r>
          </w:p>
        </w:tc>
        <w:tc>
          <w:tcPr>
            <w:tcW w:w="66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647,212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(238,815)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536,623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(4,938)</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940,100</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108,282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108,282</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29,830</w:t>
            </w:r>
          </w:p>
        </w:tc>
        <w:tc>
          <w:tcPr>
            <w:tcW w:w="100" w:type="dxa"/>
            <w:vAlign w:val="bottom"/>
          </w:tcPr>
          <w:p>
            <w:pPr>
              <w:spacing w:after="0"/>
              <w:rPr>
                <w:sz w:val="17"/>
                <w:szCs w:val="17"/>
                <w:color w:val="auto"/>
              </w:rPr>
            </w:pPr>
          </w:p>
        </w:tc>
      </w:tr>
      <w:tr>
        <w:trPr>
          <w:trHeight w:val="189"/>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1,167,902</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(71,167)</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(71,167)</w:t>
            </w:r>
          </w:p>
        </w:tc>
      </w:tr>
      <w:tr>
        <w:trPr>
          <w:trHeight w:val="20"/>
        </w:trPr>
        <w:tc>
          <w:tcPr>
            <w:tcW w:w="3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89,648,056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576,046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(238,815)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674,735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(1,268)</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1,010,716</w:t>
            </w:r>
          </w:p>
        </w:tc>
        <w:tc>
          <w:tcPr>
            <w:tcW w:w="100" w:type="dxa"/>
            <w:vAlign w:val="bottom"/>
            <w:shd w:val="clear" w:color="auto" w:fill="CFF0FC"/>
          </w:tcPr>
          <w:p>
            <w:pPr>
              <w:spacing w:after="0"/>
              <w:rPr>
                <w:sz w:val="18"/>
                <w:szCs w:val="18"/>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-25400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-8255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-25400</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6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64,079</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2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i w:val="1"/>
                <w:iCs w:val="1"/>
                <w:color w:val="auto"/>
              </w:rPr>
              <w:t>Adjustments to reconcile income before income taxes to net cash flow from</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(1,152)</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(36,300)</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 of equity awards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(20,199)</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(22,715)</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(1,820)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(4,830)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(6,160)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(7,649)</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(12,854)</w:t>
            </w:r>
          </w:p>
        </w:tc>
        <w:tc>
          <w:tcPr>
            <w:tcW w:w="0" w:type="dxa"/>
            <w:vAlign w:val="bottom"/>
          </w:tcPr>
          <w:p>
            <w:pPr>
              <w:spacing w:after="0"/>
              <w:rPr>
                <w:sz w:val="1"/>
                <w:szCs w:val="1"/>
                <w:color w:val="auto"/>
              </w:rPr>
            </w:pPr>
          </w:p>
        </w:tc>
      </w:tr>
      <w:tr>
        <w:trPr>
          <w:trHeight w:val="210"/>
        </w:trPr>
        <w:tc>
          <w:tcPr>
            <w:tcW w:w="554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(23,344)</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(5,546)</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(7,263)</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(9,699)</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an associate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 of long-term investments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used in investing activities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(1,328)</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(27,112)</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(14,451)</w:t>
            </w:r>
          </w:p>
        </w:tc>
        <w:tc>
          <w:tcPr>
            <w:tcW w:w="0" w:type="dxa"/>
            <w:vAlign w:val="bottom"/>
          </w:tcPr>
          <w:p>
            <w:pPr>
              <w:spacing w:after="0"/>
              <w:rPr>
                <w:sz w:val="1"/>
                <w:szCs w:val="1"/>
                <w:color w:val="auto"/>
              </w:rPr>
            </w:pPr>
          </w:p>
        </w:tc>
      </w:tr>
      <w:tr>
        <w:trPr>
          <w:trHeight w:val="209"/>
        </w:trPr>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(37,435)</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(71,167)</w:t>
            </w:r>
          </w:p>
        </w:tc>
        <w:tc>
          <w:tcPr>
            <w:tcW w:w="0" w:type="dxa"/>
            <w:vAlign w:val="bottom"/>
          </w:tcPr>
          <w:p>
            <w:pPr>
              <w:spacing w:after="0"/>
              <w:rPr>
                <w:sz w:val="1"/>
                <w:szCs w:val="1"/>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(4,181)</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(42,146)</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(76,552)</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(2,785)</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155,466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155,466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-3154045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-3154045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-3154045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-3154045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-2030730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-2030730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-2030730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-2030730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-1473835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-1473835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-1473835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-1182370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-1182370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-1182370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-899795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-899795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-899795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91,756</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290,723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Query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188,997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145,833</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177,210</w:t>
            </w:r>
          </w:p>
        </w:tc>
        <w:tc>
          <w:tcPr>
            <w:tcW w:w="1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2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the amounts of share-based compensation expenses: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Opera-granted awards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(2,388)</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(6,139)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(5,760)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(27,282)</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parent-granted awards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(2,872)</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 of equity awards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(8,631)</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(30,079)</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contributions for Opera-granted awards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(7,457)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(9,718)</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(31,273)</w:t>
            </w:r>
          </w:p>
        </w:tc>
        <w:tc>
          <w:tcPr>
            <w:tcW w:w="0" w:type="dxa"/>
            <w:vAlign w:val="bottom"/>
          </w:tcPr>
          <w:p>
            <w:pPr>
              <w:spacing w:after="0"/>
              <w:rPr>
                <w:sz w:val="1"/>
                <w:szCs w:val="1"/>
                <w:color w:val="auto"/>
              </w:rPr>
            </w:pPr>
          </w:p>
        </w:tc>
      </w:tr>
      <w:tr>
        <w:trPr>
          <w:trHeight w:val="201"/>
        </w:trPr>
        <w:tc>
          <w:tcPr>
            <w:tcW w:w="572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-2110740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-2110740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-2110740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-2110740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-456565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-456565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-456565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-456565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-165100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-147955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-165100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-147955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-165100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-147955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-165100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-147955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380" w:right="180" w:hanging="372"/>
        <w:spacing w:after="0" w:line="275"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Kunlun, the majority shareholder of Opera, has granted equity awards to Opera employees as compensation for services provided to Opera. Opera does not have any obligation to settle the awards granted by Kunlun and such awards do not lead to dilution for Opera shareholders.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items of other operating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2"/>
        </w:trPr>
        <w:tc>
          <w:tcPr>
            <w:tcW w:w="4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Hosting</w:t>
            </w:r>
          </w:p>
        </w:tc>
        <w:tc>
          <w:tcPr>
            <w:tcW w:w="18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(3,126)</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(4,060)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(12,360)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(13,572)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(7,687)</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(6,171)</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fees</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(4,026)</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Rent and other office expenses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(2,295)</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Travel</w:t>
            </w: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(1,959)</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(3,338)</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(3,857)</w:t>
            </w: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16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(7,950)</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(9,353)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(31,674)</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(31,291)</w:t>
            </w:r>
          </w:p>
        </w:tc>
      </w:tr>
      <w:tr>
        <w:trPr>
          <w:trHeight w:val="588"/>
        </w:trPr>
        <w:tc>
          <w:tcPr>
            <w:tcW w:w="420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506"/>
        </w:trPr>
        <w:tc>
          <w:tcPr>
            <w:tcW w:w="4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-744855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-727710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-744855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-727710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-744855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-727710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-727710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Reconciliations of Non-IFRS Financial Measures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to net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12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(36,300)</w:t>
            </w: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FF0FC"/>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Pr>
          <w:p>
            <w:pPr>
              <w:spacing w:after="0"/>
              <w:rPr>
                <w:sz w:val="18"/>
                <w:szCs w:val="18"/>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20" w:type="dxa"/>
            <w:vAlign w:val="bottom"/>
            <w:shd w:val="clear" w:color="auto" w:fill="CFF0FC"/>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(2,091)</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(5,444)</w:t>
            </w:r>
          </w:p>
        </w:tc>
      </w:tr>
      <w:tr>
        <w:trPr>
          <w:trHeight w:val="249"/>
        </w:trPr>
        <w:tc>
          <w:tcPr>
            <w:tcW w:w="5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27,357</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86,093</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5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weighted-average number of shares outstanding</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89,741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91,011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89,676</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90,956</w:t>
            </w:r>
          </w:p>
        </w:tc>
        <w:tc>
          <w:tcPr>
            <w:tcW w:w="120" w:type="dxa"/>
            <w:vAlign w:val="bottom"/>
          </w:tcPr>
          <w:p>
            <w:pPr>
              <w:spacing w:after="0"/>
              <w:rPr>
                <w:sz w:val="17"/>
                <w:szCs w:val="17"/>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FF0FC"/>
          </w:tcPr>
          <w:p>
            <w:pPr>
              <w:spacing w:after="0"/>
              <w:rPr>
                <w:sz w:val="18"/>
                <w:szCs w:val="18"/>
                <w:color w:val="auto"/>
              </w:rPr>
            </w:pP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adjusted EBITDA to net income: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3"/>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5"/>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12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120" w:type="dxa"/>
            <w:vAlign w:val="bottom"/>
            <w:shd w:val="clear" w:color="auto" w:fill="CFF0FC"/>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(1,152)</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18"/>
                <w:szCs w:val="18"/>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(36,300)</w:t>
            </w: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FF0FC"/>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120" w:type="dxa"/>
            <w:vAlign w:val="bottom"/>
          </w:tcPr>
          <w:p>
            <w:pPr>
              <w:spacing w:after="0"/>
              <w:rPr>
                <w:sz w:val="18"/>
                <w:szCs w:val="18"/>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20" w:type="dxa"/>
            <w:vAlign w:val="bottom"/>
            <w:shd w:val="clear" w:color="auto" w:fill="CFF0FC"/>
          </w:tcPr>
          <w:p>
            <w:pPr>
              <w:spacing w:after="0"/>
              <w:rPr>
                <w:sz w:val="18"/>
                <w:szCs w:val="18"/>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income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(2,367)</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8"/>
                <w:szCs w:val="18"/>
                <w:color w:val="auto"/>
              </w:rPr>
            </w:pPr>
          </w:p>
        </w:tc>
      </w:tr>
      <w:tr>
        <w:trPr>
          <w:trHeight w:val="250"/>
        </w:trPr>
        <w:tc>
          <w:tcPr>
            <w:tcW w:w="5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32,993</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115,309</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142,530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-2656840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-2639695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-2656840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-2639695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-2656840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-2639695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-2656840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-2639695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free cash flow from operations to net cash flow from operating activities: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1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40,210</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Deduct: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(23,344)</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(5,546)</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(7,263)</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(9,699)</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(4,181)</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(4,776)</w:t>
            </w: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Free cash flow from operations</w:t>
            </w:r>
          </w:p>
        </w:tc>
        <w:tc>
          <w:tcPr>
            <w:tcW w:w="16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-899795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-899795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-899795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2026-02-26T06:10:30Z</dcterms:created>
  <dcterms:modified xsi:type="dcterms:W3CDTF">2026-02-26T06:10:30Z</dcterms:modified>
</cp:coreProperties>
</file>