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314325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February 2023</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1140"/>
        <w:spacing w:after="0" w:line="207" w:lineRule="exact"/>
        <w:tabs>
          <w:tab w:leader="none" w:pos="25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 Opera Reports Record Results for the Fourth Quarter and Full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Opera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Yahui Zhou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2023</w:t>
      </w:r>
    </w:p>
    <w:p>
      <w:pPr>
        <w:sectPr>
          <w:pgSz w:w="11900" w:h="16838" w:orient="portrait"/>
          <w:cols w:equalWidth="0" w:num="1">
            <w:col w:w="10920"/>
          </w:cols>
          <w:pgMar w:left="320" w:top="58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Reports Record Results for the Fourth Quarter and Full Year 2022</w:t>
      </w:r>
    </w:p>
    <w:p>
      <w:pPr>
        <w:spacing w:after="0" w:line="200" w:lineRule="exact"/>
        <w:rPr>
          <w:sz w:val="20"/>
          <w:szCs w:val="20"/>
          <w:color w:val="auto"/>
        </w:rPr>
      </w:pPr>
    </w:p>
    <w:p>
      <w:pPr>
        <w:spacing w:after="0" w:line="2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Q4 revenue grew 33% year-over-year, with an adjusted EBITDA margin of 24% in the quarter, both exceeding prior guidance ranges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Opera GX exceeded 20 million monthly average users in the fourth quarter, while the total user base increased to 324 million</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Company repurchased 26.7 million ADS equivalents in 2022 at a total cost of $146 million or $5.46 per ADS through a combination of negotiated and open market purchases</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In 2023, Opera paid a special dividend of $0.80 per ADS, or $71 million, and its $50 million open market buy-back program remains in place with $32.7 million remaining as of year-end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initially guides $370 - 390 million revenue for 2023, at a 20% adjusted EBITDA margin at the midpoint</w:t>
      </w:r>
    </w:p>
    <w:p>
      <w:pPr>
        <w:spacing w:after="0" w:line="200" w:lineRule="exact"/>
        <w:rPr>
          <w:sz w:val="20"/>
          <w:szCs w:val="20"/>
          <w:color w:val="auto"/>
        </w:rPr>
      </w:pPr>
    </w:p>
    <w:p>
      <w:pPr>
        <w:spacing w:after="0" w:line="24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OSLO, Norway, February 27, 2023 /PRNewswire/ – Opera Limited (NASDAQ: OPRA), one of the world’s major browser developers and a leading internet consumer brand, announced its unaudited consolidated financial results for the fourth quarter and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2022 Financial Highlights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 December</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w:t>
            </w:r>
          </w:p>
        </w:tc>
        <w:tc>
          <w:tcPr>
            <w:tcW w:w="10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Year-over-</w:t>
            </w: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Year-over-</w:t>
            </w:r>
          </w:p>
        </w:tc>
        <w:tc>
          <w:tcPr>
            <w:tcW w:w="40" w:type="dxa"/>
            <w:vAlign w:val="bottom"/>
          </w:tcPr>
          <w:p>
            <w:pPr>
              <w:spacing w:after="0"/>
              <w:rPr>
                <w:sz w:val="20"/>
                <w:szCs w:val="20"/>
                <w:color w:val="auto"/>
              </w:rPr>
            </w:pPr>
          </w:p>
        </w:tc>
      </w:tr>
      <w:tr>
        <w:trPr>
          <w:trHeight w:val="187"/>
        </w:trPr>
        <w:tc>
          <w:tcPr>
            <w:tcW w:w="30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[US$ thousands, except for margins and</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year</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year</w:t>
            </w:r>
          </w:p>
        </w:tc>
        <w:tc>
          <w:tcPr>
            <w:tcW w:w="40" w:type="dxa"/>
            <w:vAlign w:val="bottom"/>
          </w:tcPr>
          <w:p>
            <w:pPr>
              <w:spacing w:after="0"/>
              <w:rPr>
                <w:sz w:val="16"/>
                <w:szCs w:val="16"/>
                <w:color w:val="auto"/>
              </w:rPr>
            </w:pPr>
          </w:p>
        </w:tc>
      </w:tr>
      <w:tr>
        <w:trPr>
          <w:trHeight w:val="238"/>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ADS amounts]</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 w:type="dxa"/>
            <w:vAlign w:val="bottom"/>
            <w:tcBorders>
              <w:bottom w:val="single" w:sz="8" w:color="auto"/>
            </w:tcBorders>
          </w:tcPr>
          <w:p>
            <w:pPr>
              <w:spacing w:after="0"/>
              <w:rPr>
                <w:sz w:val="20"/>
                <w:szCs w:val="20"/>
                <w:color w:val="auto"/>
              </w:rPr>
            </w:pPr>
          </w:p>
        </w:tc>
      </w:tr>
      <w:tr>
        <w:trPr>
          <w:trHeight w:val="209"/>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72,626</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96,272</w:t>
            </w:r>
          </w:p>
        </w:tc>
        <w:tc>
          <w:tcPr>
            <w:tcW w:w="1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4"/>
              </w:rPr>
              <w:t>32.6%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250,991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331,037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(112,390)</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20,922</w:t>
            </w: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(43,964)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15,035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40" w:type="dxa"/>
            <w:vAlign w:val="bottom"/>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(154.8)%</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Adjusted EBITDA </w:t>
            </w:r>
            <w:r>
              <w:rPr>
                <w:rFonts w:ascii="Times New Roman" w:cs="Times New Roman" w:eastAsia="Times New Roman" w:hAnsi="Times New Roman"/>
                <w:sz w:val="25"/>
                <w:szCs w:val="25"/>
                <w:color w:val="auto"/>
                <w:vertAlign w:val="superscript"/>
              </w:rPr>
              <w:t>(1)</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17,254</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22,784</w:t>
            </w:r>
          </w:p>
        </w:tc>
        <w:tc>
          <w:tcPr>
            <w:tcW w:w="12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4"/>
              </w:rPr>
              <w:t>32.1%</w:t>
            </w:r>
          </w:p>
        </w:tc>
        <w:tc>
          <w:tcPr>
            <w:tcW w:w="120" w:type="dxa"/>
            <w:vAlign w:val="bottom"/>
          </w:tcPr>
          <w:p>
            <w:pPr>
              <w:spacing w:after="0"/>
              <w:rPr>
                <w:sz w:val="18"/>
                <w:szCs w:val="18"/>
                <w:color w:val="auto"/>
              </w:rPr>
            </w:pP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29,012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68,084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4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Adjusted net income (loss) </w:t>
            </w:r>
            <w:r>
              <w:rPr>
                <w:rFonts w:ascii="Times New Roman" w:cs="Times New Roman" w:eastAsia="Times New Roman" w:hAnsi="Times New Roman"/>
                <w:sz w:val="25"/>
                <w:szCs w:val="25"/>
                <w:color w:val="auto"/>
                <w:vertAlign w:val="superscript"/>
              </w:rPr>
              <w:t>(1)</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(105,673)</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25,890</w:t>
            </w: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(22,106)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27,923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40" w:type="dxa"/>
            <w:vAlign w:val="bottom"/>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(loss) per ADS, US$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(0.97)</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0.22</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3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Diluted adjusted net income (loss) per</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6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ADS, US$ </w:t>
            </w:r>
            <w:r>
              <w:rPr>
                <w:rFonts w:ascii="Times New Roman" w:cs="Times New Roman" w:eastAsia="Times New Roman" w:hAnsi="Times New Roman"/>
                <w:sz w:val="26"/>
                <w:szCs w:val="26"/>
                <w:color w:val="auto"/>
                <w:vertAlign w:val="superscript"/>
              </w:rPr>
              <w:t>(1)</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(0.92)</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0.27</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4"/>
                <w:szCs w:val="24"/>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40" w:type="dxa"/>
            <w:vAlign w:val="bottom"/>
          </w:tcPr>
          <w:p>
            <w:pPr>
              <w:spacing w:after="0"/>
              <w:rPr>
                <w:sz w:val="24"/>
                <w:szCs w:val="24"/>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Please see the separate section "About non-IFRS financial measures" for the definitions of adjusted EBITDA and adjusted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“I am very pleased that yet again we were able to outperform our expectations, on top of repeatedly raised guidance, and deliver record revenue with strong profitability and cash generation,” said Co-CEO Song Lin.</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 year with a great deal of geo-political and macroeconomic uncertainty, Opera delivered 32% revenue growth for FY 2022, and increased its adjusted EBITDA margin to 21%, up 9 percentage points versus 2021. Building upon the success we have experienced by focusing on users which yield greater monetization opportunities, whether due to geographic focus and platform broadening, or through high engagement products such as the Opera GX browser, we have driven ARPU to new highs. And finally, our consistent discipline around operating expenses ensured healthy margin expansion in accordance with our plans," continued Mr. Song.</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and Recent Business Highlights</w:t>
      </w:r>
    </w:p>
    <w:p>
      <w:pPr>
        <w:spacing w:after="0" w:line="229" w:lineRule="exact"/>
        <w:rPr>
          <w:sz w:val="20"/>
          <w:szCs w:val="20"/>
          <w:color w:val="auto"/>
        </w:rPr>
      </w:pPr>
    </w:p>
    <w:p>
      <w:pPr>
        <w:ind w:left="660" w:right="20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search and advertising revenue grew 34% year-over-year, driven by continued ARPU growth of our browser and news user base as well as our Opera Ads platform.</w:t>
      </w:r>
    </w:p>
    <w:p>
      <w:pPr>
        <w:ind w:left="660" w:right="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Opera’s average monthly active user base was 324 million MAUs in the quarter, up versus the prior quarter and marking a successful milestone in our transition towards higher-value users, with underlying growth continuing to be strongest in western markets.</w:t>
      </w:r>
    </w:p>
    <w:p>
      <w:pPr>
        <w:ind w:left="660" w:right="20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 GX gaming browser had over 20 million monthly active users across PC and mobile in the fourth quarter, up 11% from 18 million in the third quarter of 2022.</w:t>
      </w:r>
    </w:p>
    <w:p>
      <w:pPr>
        <w:ind w:left="660" w:right="18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each user on average generated $1.18 of revenue on an annualized basis, an increase of 12% from the third quarter of 2022 and up 42% versus the fourth quarter of 2021.</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Opera announced the upcoming integration of AI-generated content (“AIGC”) services into its PC and mobile browsers. Opera is also taking steps towards expanding its existing AI program into AIGC for its browser, news and gaming products through its own solutions and both new and existing partnerships.</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Opera repurchased from a pre-IPO shareholder 23.4 million ADS equivalents for $128.6 million, or $5.50 per ADS. In addition, the company conducted open market repurchases of 0.6 million ADSs at an average price of $5.14, for a total spend of $3.2 million, leaving $32.7 million or 65% of our existing buyback authorization remaining. The total number of ADS equivalents outstanding as of year-end was 89,215,121.</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Opera announced a special dividend of $0.80 per ADS which was distributed in February 2023.</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2023, Opera settled its receivable from the sale of Nanobank. See “Other updates - Nanobank receivable settlement” below. Instead of cash installments that would have otherwise been paid through Q2 2026, Opera agreed to take immediate full payment in OPay shares. The resulting reclassification will be reflected on our balance sheet for the first quarter of 2023. Opera considers this settlement to be reflective of the underlying fair value of its Nanobank receivable as of year-end, and consequently impaired its receivable by $35.9 million to a net fair value of $76.3 million as of year-end 2022.</w:t>
      </w:r>
    </w:p>
    <w:p>
      <w:pPr>
        <w:spacing w:after="0" w:line="1" w:lineRule="exact"/>
        <w:rPr>
          <w:rFonts w:ascii="Times New Roman" w:cs="Times New Roman" w:eastAsia="Times New Roman" w:hAnsi="Times New Roman"/>
          <w:sz w:val="18"/>
          <w:szCs w:val="18"/>
          <w:color w:val="auto"/>
        </w:rPr>
      </w:pPr>
    </w:p>
    <w:p>
      <w:pPr>
        <w:ind w:left="660" w:hanging="328"/>
        <w:spacing w:after="0" w:line="25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fourth quarter, our cash and marketable securities were $118 million. In addition, $13 million of other receivables were sales of marketable securities with settlement in the first days of 2023, such that the underlying balance at the start of the year was $131 million. Net of the $71 million special dividend, we started 2023 with a cash position of $60 million. Combined with $59 million in remaining installments from the sale of Star X and our current 9.5% equity stake in OPay as an asset held for sale, Opera embarks on 2023 with a continued strong balance sheet in addition to the underlying cash flow generation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operate a highly scalable and growing business, and look forward to another year of exciting opportunities across our product initiatives. Our strategic choices over the past several years have put us in a great operational and financial position as we embark on 2023, with greater scale, products and opportunities than ever before,” said CFO Frode Jacobsen.</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Keeping with our tradition to set cautious expectations, we choose to base our guidance on a 15% annual revenue growth at the midpoint. While we have a track record of offsetting macroeconomic challenges by generating underlying growth in excess of base case trajectories, we prefer to open the new year with a prudent view to reflect the economic environment in which we expect to operate during 2023.</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full year of 2023, Opera guides revenue of $370 million to $390 million. We guide adjusted EBITDA to be between $71 million and $81 million, or a 20% margin at the midpoints.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first quarter of 2023, Opera expects revenue of $83 million to $85 million, representing 17% year-over-year growth at the midpoint and reflecting greater seasonality as our advertising revenue has scaled so rapidly. Adjusted EBITDA is expected to be between $17 million and $19 million, representing a 21% margin at the midpoint.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Updates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Nanobank receivable settlement</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Earlier this month, Nanobank sold the majority of its business in Asia to OPay in exchange for OPay shares. In connection with this, Opera and the third-party buyer of Opera’s former ownership stake in Nanobank agreed to treat the transaction as a full sale of Nanobank, triggering an immediate settlement of Opera’s receivable in the form of OPay shares in lieu of quarterly cash installments through Q2 2026.</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settlement was based on the valuation applied in the transaction as well as an estimate for the value of Nanobank’s remaining business. Opera has stepped into the relevant provisions of the sales agreement, including potential adjustments depending on the business performance. Consequently, Opera will report the value of its increased OPay ownership based on a weighted set of scenarios for the performance of the sold business.</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Opera considers this settlement to be reflective of the underlying fair value of its Nanobank receivable as of year-end, and consequently impaired its receivable by $35.9 million to a net fair value of $76.3 million as of year-end 2022.</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Following the settlement, Opera’s stake in OPay increases from 6.4% to 9.5%. Opera continues to classify its OPay ownership as ‘held for sale’, and notes that OPay continued its strong growth trajectory through 2022, giving us comfort in the ultimate marketability of our increased ownership stake.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European sanctions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initial phases of the war in Ukraine, we saw impacts on our business mainly due to underlying causes such as shifting FX rates, decline in advertiser interest and our greater caution in the near- to mid-term outlook for this region. As the year progressed, we also observed impacts on our business as a result of additional sanctions implemented by the EU and Norway against Russian entities. For example, the EU’s 9th sanctions package in December 2022 imposes limitations on European companies providing advertising services to Russians, which has resulted in our subsequent termination of several advertising contracts. For now, we have reflected a headwind of approximately $10 million related to existing sanctions in our 2023 guidance, as well as a general cautious view in light of the broader macroeconomic picture and associated uncertainties.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2022 Consolidated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comparisons in this section are relative to the fourth quarter of 2021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increased by 33% to $96.3 million.</w:t>
      </w:r>
    </w:p>
    <w:p>
      <w:pPr>
        <w:spacing w:after="0" w:line="3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revenue increased by 12% to $39.0 million, driven by the growth of our PC footprint in western markets, particularly in North America.</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increased by 55% to $56.8 million, benefiting from the audience extension supported by our Opera Ads platform in addition to the growth in our western PC footprint.</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licensing and other revenue was $0.5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increased by 22% to $84.6 million.</w:t>
      </w:r>
    </w:p>
    <w:p>
      <w:pPr>
        <w:spacing w:after="0" w:line="3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technology and platform fees, content cost and cost of inventory sold were $19.0 million, or 20% of revenue.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share-based remuneration, were $21.1 million, a 19% increase. This expense consists of cash-based compensation expense of $17.0 million, a 20% increase year-over-year mainly due to increased headcount and salary adjustments, and share-based remuneration expense of $4.1 million.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expenses were $29.6 million, a decrease of 1% year-over-year, or a 14% sequential increase versus the prior quarter.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expenses were $3.5 million, a 23% decrease year-over-year but stable versus the prior quarter.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 impaired non-financial assets by $3.2 million based on reduced expectations related to certain non-core intangible assets.</w:t>
      </w:r>
    </w:p>
    <w:p>
      <w:pPr>
        <w:spacing w:after="0" w:line="9" w:lineRule="exact"/>
        <w:rPr>
          <w:rFonts w:ascii="Times New Roman" w:cs="Times New Roman" w:eastAsia="Times New Roman" w:hAnsi="Times New Roman"/>
          <w:sz w:val="18"/>
          <w:szCs w:val="18"/>
          <w:color w:val="auto"/>
        </w:rPr>
      </w:pPr>
    </w:p>
    <w:p>
      <w:pPr>
        <w:ind w:left="660" w:righ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operating expenses were $8.3 million, a 44% increase year-over-year following increased activity levels and cautious credit loss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was $11.8 million compared to an operating profit of $3.8 million in the fourth quarter of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finance gain </w:t>
      </w:r>
      <w:r>
        <w:rPr>
          <w:rFonts w:ascii="Times New Roman" w:cs="Times New Roman" w:eastAsia="Times New Roman" w:hAnsi="Times New Roman"/>
          <w:sz w:val="18"/>
          <w:szCs w:val="18"/>
          <w:color w:val="auto"/>
        </w:rPr>
        <w:t>was $6.9 million, of which the appreciation of marketable securities more than offset the impairment of our Nanobank receivable.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 gain </w:t>
      </w:r>
      <w:r>
        <w:rPr>
          <w:rFonts w:ascii="Times New Roman" w:cs="Times New Roman" w:eastAsia="Times New Roman" w:hAnsi="Times New Roman"/>
          <w:sz w:val="18"/>
          <w:szCs w:val="18"/>
          <w:color w:val="auto"/>
        </w:rPr>
        <w:t>was $0.7 million, mainly benefiting from foreign currency impacts on net deferred tax liabilities.</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$20.9 million. This compared to a net loss of $112.4 million in the fourth quarter of 2021 due to an $115.5 million impairment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Nanobank, an investment held for sale at the time.</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per ADS </w:t>
      </w:r>
      <w:r>
        <w:rPr>
          <w:rFonts w:ascii="Times New Roman" w:cs="Times New Roman" w:eastAsia="Times New Roman" w:hAnsi="Times New Roman"/>
          <w:sz w:val="18"/>
          <w:szCs w:val="18"/>
          <w:color w:val="auto"/>
        </w:rPr>
        <w:t>was $0.22 in the quarter. Each ADS represents two shares in Opera Limited. In the quarter, the weighted average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was 187.7 million, corresponding to 93.9 million ADSs.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$22.8 million, representing a 24% margin, compared to adjusted EBITDA of $17.3 million in the fourth quarter of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was $25.9 million in the quarter, compared to an adjusted net loss of $105.7 million in the fourth quarter of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net income per ADS </w:t>
      </w:r>
      <w:r>
        <w:rPr>
          <w:rFonts w:ascii="Times New Roman" w:cs="Times New Roman" w:eastAsia="Times New Roman" w:hAnsi="Times New Roman"/>
          <w:sz w:val="18"/>
          <w:szCs w:val="18"/>
          <w:color w:val="auto"/>
        </w:rPr>
        <w:t>was $0.28 in the quarter.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posted Opera’s unaudited financial results by quarter since 2019 at </w:t>
      </w:r>
      <w:r>
        <w:rPr>
          <w:rFonts w:ascii="Times New Roman" w:cs="Times New Roman" w:eastAsia="Times New Roman" w:hAnsi="Times New Roman"/>
          <w:sz w:val="18"/>
          <w:szCs w:val="18"/>
          <w:u w:val="single" w:color="auto"/>
          <w:color w:val="auto"/>
        </w:rPr>
        <w:t>https://investor.opera.com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Opera’s management will host a conference call to discuss the fourth quarter and full year 2022 financial results on Monday, February 27th at 8:00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 (EDT). Listeners may access the call by dialing the following numbers: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+1 877-830-2597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+10-800-714-1507 or +10-800-140-1382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+80-090-1494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 +47 80-01-3780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 +44 0-808-101-1183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+1 785-424-1877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Confirmation Code: OPRAQ422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webcast of the conference call will be posted at </w:t>
      </w:r>
      <w:r>
        <w:rPr>
          <w:rFonts w:ascii="Times New Roman" w:cs="Times New Roman" w:eastAsia="Times New Roman" w:hAnsi="Times New Roman"/>
          <w:sz w:val="18"/>
          <w:szCs w:val="18"/>
          <w:u w:val="single" w:color="auto"/>
          <w:color w:val="auto"/>
        </w:rPr>
        <w:t>https://investor.opera.com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be tweeting highlights from our prepared remarks. Please follow along on Twitter @InvestorOpera.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76"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Non-IFRS Financial Measures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and presented based on IFRS, we use adjusted EBITDA and adjusted net income (loss), both non-IFRS financial measures,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IFRS.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(loss) excluding income tax expense (benefit), net finance expense (income), share of net loss (income) of equity-accounted investees, fair value loss (gain) from investments, depreciation and amortization, impairment of non-financial assets, impairment of equity-accounted investees, share-based remuneration, credit loss expense related to divested joint venture, non-recurring expenses, less other operating income and (profit) loss from discontinued operations.</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define adjusted net income (loss) as net income (loss) excluding share-based remuneration, amortization cost related to acquired intangible assets, amortization of Nanobank intangible assets, credit loss expense related to divested joint venture and other non-recurring expenses, and (profit) loss from discontinued operations, adjusted for the associated tax benefit related to such items.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adjusted EBITDA and adjusted net income (loss) provide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the related financial information prepared and presented in accordance with IFRS. Please refer to our financial statements at the end of this announcement for a table reconciling our non-IFRS financial measures to net income (loss), the most directly comparable IFRS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“may,” “expect,” “believe,” “anticipate,” “intend,” “aim,” “estimate,” “intend,” “seek,” “plan,” “potential,” “continue,” “ongoing,” “target,” “guidance,” “is/are likely to,” “future” and similar statements. Among other things, management’s quotations and the Business outlook section contain forward-looking statements. The Company may also make forward-looking statements in its periodic reports to the U.S. Securities and Exchange Commission (the “SEC”), in press releases and other written materials and in oral statements made by its officers, directors or employees to third parties. These forward-looking statements involve known and unknown risks and uncertainties and are based on current expectations, assumptions, estimates and projections about the Company and the industry in which it operates. Potential risks and uncertainties include, but are not limited to, those relating to: the duration and development of the conflict in Ukraine and related economic sanctions, as well as resulting changes in consumer behaviors; the outcome of regulatory processes or litigation; the Company and its goals and strategies; expected development and launch, and market acceptance, of products and services; Company’s expectations regarding demand for and market acceptance of its brands, platforms and services; Company’s expectations regarding growth in its user base, user retention and level of engagement; Company’s ability to attract, retain and monetize users; Company’s ability to continue to develop new technologies, products and services and/or upgrade its existing technologies, products and services; quarterly variations in Company’s operating results caused by factors beyond its control; and global macroeconomic conditions and their potential impact in the markets in which the Company has business. All information provided in this press release is as of the date hereof and is based on assumptions that the Company believes to be reasonable as of this date, and it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the Company’s filings with the SEC, including its annual reports on Form 20-F.</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 is a global web innovator. Opera's browsers, gaming, Web3 and news products are the trusted choice of hundreds of millions of users worldwide.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 is headquartered in Oslo, Norway and listed on the Nasdaq stock market (OPRA). Download the Opera browser from www.opera.com.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about Opera at </w:t>
      </w:r>
      <w:r>
        <w:rPr>
          <w:rFonts w:ascii="Times New Roman" w:cs="Times New Roman" w:eastAsia="Times New Roman" w:hAnsi="Times New Roman"/>
          <w:sz w:val="18"/>
          <w:szCs w:val="18"/>
          <w:u w:val="single" w:color="auto"/>
          <w:color w:val="auto"/>
        </w:rPr>
        <w:t>https://investor.opera.com</w:t>
      </w:r>
      <w:r>
        <w:rPr>
          <w:rFonts w:ascii="Times New Roman" w:cs="Times New Roman" w:eastAsia="Times New Roman" w:hAnsi="Times New Roman"/>
          <w:sz w:val="18"/>
          <w:szCs w:val="18"/>
          <w:color w:val="auto"/>
        </w:rPr>
        <w:t xml:space="preserve"> or on Twitter @InvestorOpera.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investor-relations@opera.com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media enquiries, please contact: 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Operations</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380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[US$ thousands, except per ADS and share amounts]</w:t>
            </w:r>
          </w:p>
        </w:tc>
        <w:tc>
          <w:tcPr>
            <w:tcW w:w="120" w:type="dxa"/>
            <w:vAlign w:val="bottom"/>
            <w:vMerge w:val="restart"/>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72,626</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96,272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250,991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331,037</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(1,297)</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(784)</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(4,472)</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(4,104)</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Content cost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(891)</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(3,712)</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16"/>
        </w:trPr>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of inventory sold</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(3,043)</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(17,277)</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(5,507)</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(46,650)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 expenses including share-based remuneration</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(17,668)</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(21,095)</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(74,450)</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(74,588)</w:t>
            </w:r>
          </w:p>
        </w:tc>
        <w:tc>
          <w:tcPr>
            <w:tcW w:w="0" w:type="dxa"/>
            <w:vAlign w:val="bottom"/>
          </w:tcPr>
          <w:p>
            <w:pPr>
              <w:spacing w:after="0"/>
              <w:rPr>
                <w:sz w:val="1"/>
                <w:szCs w:val="1"/>
                <w:color w:val="auto"/>
              </w:rPr>
            </w:pPr>
          </w:p>
        </w:tc>
      </w:tr>
      <w:tr>
        <w:trPr>
          <w:trHeight w:val="216"/>
        </w:trPr>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(29,969)</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(29,558)</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(120,944)</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(114,988)</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(977)</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16"/>
        </w:trPr>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(4,555)</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(13,939)</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(5,624)</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(3,194)</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(5,624)</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16"/>
        </w:trPr>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Non-recurring expenses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(5,567)</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(7,002)</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(22,802)</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(26,705)</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(69,094)</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(84,577)</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(257,668)</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(290,906)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3,780</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11,842</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(6,211)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40,600</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(24,480)</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(29,376)</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equity-accounted investee</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(115,477)</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(115,477)</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gain on investments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31,101</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116,561</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Finance income</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43,606</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21,454</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expense</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(3,853)</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(35,620)</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(6,912)</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(38,521)</w:t>
            </w:r>
          </w:p>
        </w:tc>
        <w:tc>
          <w:tcPr>
            <w:tcW w:w="0" w:type="dxa"/>
            <w:vAlign w:val="bottom"/>
          </w:tcPr>
          <w:p>
            <w:pPr>
              <w:spacing w:after="0"/>
              <w:rPr>
                <w:sz w:val="1"/>
                <w:szCs w:val="1"/>
                <w:color w:val="auto"/>
              </w:rPr>
            </w:pPr>
          </w:p>
        </w:tc>
      </w:tr>
      <w:tr>
        <w:trPr>
          <w:trHeight w:val="216"/>
        </w:trPr>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foreign exchange loss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(1,087)</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(1,814)</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(4,064)</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6,898</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(8,603)</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(18,224)</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Profit (loss) before income taxes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(109,139)</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20,241</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(43,106)</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23,870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(2,435)</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(8,835)</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Profit (loss) from continuing operations</w:t>
            </w:r>
          </w:p>
        </w:tc>
        <w:tc>
          <w:tcPr>
            <w:tcW w:w="162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(111,574)</w:t>
            </w:r>
          </w:p>
        </w:tc>
        <w:tc>
          <w:tcPr>
            <w:tcW w:w="15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20,921</w:t>
            </w:r>
          </w:p>
        </w:tc>
        <w:tc>
          <w:tcPr>
            <w:tcW w:w="156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(43,149)</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(816)</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(816)</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owners of the parent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(112,390)</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20,922</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(43,964)</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15,035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ordinary shares outstanding:</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millions</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230.29</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187.73</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230.28</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218.96</w:t>
            </w:r>
          </w:p>
        </w:tc>
        <w:tc>
          <w:tcPr>
            <w:tcW w:w="0" w:type="dxa"/>
            <w:vAlign w:val="bottom"/>
          </w:tcPr>
          <w:p>
            <w:pPr>
              <w:spacing w:after="0"/>
              <w:rPr>
                <w:sz w:val="1"/>
                <w:szCs w:val="1"/>
                <w:color w:val="auto"/>
              </w:rPr>
            </w:pPr>
          </w:p>
        </w:tc>
      </w:tr>
      <w:tr>
        <w:trPr>
          <w:trHeight w:val="216"/>
        </w:trPr>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Diluted, millions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230.29</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189.23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230.28</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220.67</w:t>
            </w:r>
          </w:p>
        </w:tc>
        <w:tc>
          <w:tcPr>
            <w:tcW w:w="0" w:type="dxa"/>
            <w:vAlign w:val="bottom"/>
          </w:tcPr>
          <w:p>
            <w:pPr>
              <w:spacing w:after="0"/>
              <w:rPr>
                <w:sz w:val="1"/>
                <w:szCs w:val="1"/>
                <w:color w:val="auto"/>
              </w:rPr>
            </w:pPr>
          </w:p>
        </w:tc>
      </w:tr>
      <w:tr>
        <w:trPr>
          <w:trHeight w:val="194"/>
        </w:trPr>
        <w:tc>
          <w:tcPr>
            <w:tcW w:w="508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Earnings per ADS and per share for profit (loss) from</w:t>
            </w: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Basic earnings per ADS, US$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(0.97)</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ADS, US$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(0.97)</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Basic earnings per share, US$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(0.48)</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share, US$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(0.48)</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 per ADS and per share for net income (loss):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ADS, US$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(0.98)</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Diluted earnings per ADS, US$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(0.98)</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 US$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(0.48)</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4"/>
        </w:trPr>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Diluted earnings per share, US$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(0.48)</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556"/>
        </w:trPr>
        <w:tc>
          <w:tcPr>
            <w:tcW w:w="3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Comprehensive Income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47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w:t>
            </w:r>
          </w:p>
        </w:tc>
        <w:tc>
          <w:tcPr>
            <w:tcW w:w="254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38"/>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120" w:type="dxa"/>
            <w:vAlign w:val="bottom"/>
            <w:vMerge w:val="restart"/>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(112,390)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20,922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15,035</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Items that may be reclassified to the Statement of Operations in subsequent periods (net of tax):</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of exchange differences on loss of control</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Share of other comprehensive income (loss) of equity-accounted investees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98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Reclassification of share of other comprehensive income (loss) of equity-</w:t>
            </w:r>
          </w:p>
        </w:tc>
        <w:tc>
          <w:tcPr>
            <w:tcW w:w="13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1"/>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accounted investees</w:t>
            </w:r>
          </w:p>
        </w:tc>
        <w:tc>
          <w:tcPr>
            <w:tcW w:w="138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attributable to owners of the parent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(112,601)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22,601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12,170</w:t>
            </w:r>
          </w:p>
        </w:tc>
        <w:tc>
          <w:tcPr>
            <w:tcW w:w="0" w:type="dxa"/>
            <w:vAlign w:val="bottom"/>
          </w:tcPr>
          <w:p>
            <w:pPr>
              <w:spacing w:after="0"/>
              <w:rPr>
                <w:sz w:val="1"/>
                <w:szCs w:val="1"/>
                <w:color w:val="auto"/>
              </w:rPr>
            </w:pPr>
          </w:p>
        </w:tc>
      </w:tr>
      <w:tr>
        <w:trPr>
          <w:trHeight w:val="554"/>
        </w:trPr>
        <w:tc>
          <w:tcPr>
            <w:tcW w:w="474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Financial Position</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3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356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324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09"/>
        </w:trPr>
        <w:tc>
          <w:tcPr>
            <w:tcW w:w="4320" w:type="dxa"/>
            <w:vAlign w:val="bottom"/>
            <w:tcBorders>
              <w:top w:val="single" w:sz="8" w:color="auto"/>
              <w:bottom w:val="single" w:sz="8" w:color="auto"/>
            </w:tcBorders>
            <w:vMerge w:val="continue"/>
          </w:tcPr>
          <w:p>
            <w:pPr>
              <w:spacing w:after="0"/>
              <w:rPr>
                <w:sz w:val="18"/>
                <w:szCs w:val="18"/>
                <w:color w:val="auto"/>
              </w:rPr>
            </w:pPr>
          </w:p>
        </w:tc>
        <w:tc>
          <w:tcPr>
            <w:tcW w:w="35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14,623</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103,627</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99,983</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430,378</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429,445</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receivables from sale of investments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76,305</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Non-current investments and financial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551,475</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624,473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43,864</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57,923</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receivables from sale of investments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56,347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17,247</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3,932</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78,135</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66,250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102,876</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cash, cash equivalents, and marketable securities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181,011</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118,664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288,379</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540,986</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1,092,460</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964,686</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tcPr>
          <w:p>
            <w:pPr>
              <w:spacing w:after="0"/>
              <w:rPr>
                <w:sz w:val="17"/>
                <w:szCs w:val="17"/>
                <w:color w:val="auto"/>
              </w:rPr>
            </w:pPr>
          </w:p>
        </w:tc>
        <w:tc>
          <w:tcPr>
            <w:tcW w:w="35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 capital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paid in capital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824,832</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824,832</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Treasury shares</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(60,453)</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(206,514)</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249,155</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273,262</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(3,385)</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equity attributable to owners of the parent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1,013,039</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Non-current lease liabilities and other loans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4,723</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7,352</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12,143</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38,378</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46,937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lease liabilities and other loans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70,786</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79,421</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1,092,460</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964,686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3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Unaudited Consolidated Statement of Changes in Equity</w:t>
            </w:r>
          </w:p>
        </w:tc>
        <w:tc>
          <w:tcPr>
            <w:tcW w:w="3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20" w:type="dxa"/>
            <w:vAlign w:val="bottom"/>
            <w:gridSpan w:val="8"/>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Equity attributable to owners of the parent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 paid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ADS</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20" w:type="dxa"/>
            <w:vAlign w:val="bottom"/>
          </w:tcPr>
          <w:p>
            <w:pPr>
              <w:spacing w:after="0"/>
              <w:rPr>
                <w:sz w:val="20"/>
                <w:szCs w:val="20"/>
                <w:color w:val="auto"/>
              </w:rPr>
            </w:pPr>
          </w:p>
        </w:tc>
        <w:tc>
          <w:tcPr>
            <w:tcW w:w="1000" w:type="dxa"/>
            <w:vAlign w:val="bottom"/>
            <w:tcBorders>
              <w:bottom w:val="single" w:sz="8" w:color="auto"/>
            </w:tcBorders>
            <w:gridSpan w:val="2"/>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5"/>
              </w:rPr>
              <w:t xml:space="preserve">equivalent </w:t>
            </w:r>
            <w:r>
              <w:rPr>
                <w:rFonts w:ascii="Times New Roman" w:cs="Times New Roman" w:eastAsia="Times New Roman" w:hAnsi="Times New Roman"/>
                <w:sz w:val="23"/>
                <w:szCs w:val="23"/>
                <w:b w:val="1"/>
                <w:bCs w:val="1"/>
                <w:color w:val="auto"/>
                <w:w w:val="95"/>
                <w:vertAlign w:val="superscript"/>
              </w:rPr>
              <w:t>(1)</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228,285,684</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114,142,842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824,832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(59,704)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283,334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1,048,895</w:t>
            </w:r>
          </w:p>
        </w:tc>
        <w:tc>
          <w:tcPr>
            <w:tcW w:w="0" w:type="dxa"/>
            <w:vAlign w:val="bottom"/>
          </w:tcPr>
          <w:p>
            <w:pPr>
              <w:spacing w:after="0"/>
              <w:rPr>
                <w:sz w:val="1"/>
                <w:szCs w:val="1"/>
                <w:color w:val="auto"/>
              </w:rPr>
            </w:pPr>
          </w:p>
        </w:tc>
      </w:tr>
      <w:tr>
        <w:trPr>
          <w:trHeight w:val="216"/>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(43,964)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(43,964)</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16"/>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remuneration</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9,785</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upon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share-based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remuneration</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2,172,680</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1,086,340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Acquisition of treasury</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(166,632)</w:t>
            </w:r>
          </w:p>
        </w:tc>
        <w:tc>
          <w:tcPr>
            <w:tcW w:w="12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(83,316)</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(749)</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21"/>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gridSpan w:val="2"/>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230,291,732</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115,145,866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824,832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(60,453)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249,155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1,013,039</w:t>
            </w: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profit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15,035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15,035</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(2,865)</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16"/>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remuneration</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9,073</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upon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share-based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remuneration</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1,597,500</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798,750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Acquisition of treasury</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(53,458,990)</w:t>
            </w:r>
          </w:p>
        </w:tc>
        <w:tc>
          <w:tcPr>
            <w:tcW w:w="12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(26,729,495)</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(146,063)</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(146,068)</w:t>
            </w:r>
          </w:p>
        </w:tc>
        <w:tc>
          <w:tcPr>
            <w:tcW w:w="0" w:type="dxa"/>
            <w:vAlign w:val="bottom"/>
          </w:tcPr>
          <w:p>
            <w:pPr>
              <w:spacing w:after="0"/>
              <w:rPr>
                <w:sz w:val="1"/>
                <w:szCs w:val="1"/>
                <w:color w:val="auto"/>
              </w:rPr>
            </w:pPr>
          </w:p>
        </w:tc>
      </w:tr>
      <w:tr>
        <w:trPr>
          <w:trHeight w:val="221"/>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gridSpan w:val="2"/>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178,430,242</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89,215,121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824,832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(206,514)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273,262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888,213</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Opera Limited has American depositary shares listed on the Nasdaq Stock Market, each representing two ordinary shares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Cash Flows</w:t>
            </w: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38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366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58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bottom w:val="single" w:sz="8" w:color="auto"/>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Profit (loss) before income taxes from continuing</w:t>
            </w: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(109,139)</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20,241</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(43,106)</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23,870</w:t>
            </w:r>
          </w:p>
        </w:tc>
        <w:tc>
          <w:tcPr>
            <w:tcW w:w="0" w:type="dxa"/>
            <w:vAlign w:val="bottom"/>
          </w:tcPr>
          <w:p>
            <w:pPr>
              <w:spacing w:after="0"/>
              <w:rPr>
                <w:sz w:val="1"/>
                <w:szCs w:val="1"/>
                <w:color w:val="auto"/>
              </w:rPr>
            </w:pPr>
          </w:p>
        </w:tc>
      </w:tr>
      <w:tr>
        <w:trPr>
          <w:trHeight w:val="198"/>
        </w:trPr>
        <w:tc>
          <w:tcPr>
            <w:tcW w:w="400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before income taxes from discontinued</w:t>
            </w: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(1,053)</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(1,053)</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820" w:type="dxa"/>
            <w:vAlign w:val="bottom"/>
            <w:gridSpan w:val="5"/>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Adjustments to reconcile profit (loss) before income taxes to net cash</w:t>
            </w: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flow:</w:t>
            </w: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3,671</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3,846</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9,785</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9,073</w:t>
            </w:r>
          </w:p>
        </w:tc>
        <w:tc>
          <w:tcPr>
            <w:tcW w:w="0" w:type="dxa"/>
            <w:vAlign w:val="bottom"/>
          </w:tcPr>
          <w:p>
            <w:pPr>
              <w:spacing w:after="0"/>
              <w:rPr>
                <w:sz w:val="1"/>
                <w:szCs w:val="1"/>
                <w:color w:val="auto"/>
              </w:rPr>
            </w:pPr>
          </w:p>
        </w:tc>
      </w:tr>
      <w:tr>
        <w:trPr>
          <w:trHeight w:val="216"/>
        </w:trPr>
        <w:tc>
          <w:tcPr>
            <w:tcW w:w="4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4,555</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3,490</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19,600</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13,939</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5,624</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3,194</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5,624</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16"/>
        </w:trPr>
        <w:tc>
          <w:tcPr>
            <w:tcW w:w="4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24,480</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29,376</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gain on investments</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(31,101)</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(116,561)</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4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Impairment of equity-accounted investee</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115,477</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115,477</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4,064</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(6,898)</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8,603</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18,224</w:t>
            </w:r>
          </w:p>
        </w:tc>
        <w:tc>
          <w:tcPr>
            <w:tcW w:w="0" w:type="dxa"/>
            <w:vAlign w:val="bottom"/>
          </w:tcPr>
          <w:p>
            <w:pPr>
              <w:spacing w:after="0"/>
              <w:rPr>
                <w:sz w:val="1"/>
                <w:szCs w:val="1"/>
                <w:color w:val="auto"/>
              </w:rPr>
            </w:pPr>
          </w:p>
        </w:tc>
      </w:tr>
      <w:tr>
        <w:trPr>
          <w:trHeight w:val="216"/>
        </w:trPr>
        <w:tc>
          <w:tcPr>
            <w:tcW w:w="4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Other adjustments</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(716)</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1,034</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(1,833)</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 in trade and other receivables</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541</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(7,669)</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(7,383)</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(17,811)</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prepayments</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1,410</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3,421</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4,253</w:t>
            </w:r>
          </w:p>
        </w:tc>
        <w:tc>
          <w:tcPr>
            <w:tcW w:w="0" w:type="dxa"/>
            <w:vAlign w:val="bottom"/>
          </w:tcPr>
          <w:p>
            <w:pPr>
              <w:spacing w:after="0"/>
              <w:rPr>
                <w:sz w:val="1"/>
                <w:szCs w:val="1"/>
                <w:color w:val="auto"/>
              </w:rPr>
            </w:pPr>
          </w:p>
        </w:tc>
      </w:tr>
      <w:tr>
        <w:trPr>
          <w:trHeight w:val="216"/>
        </w:trPr>
        <w:tc>
          <w:tcPr>
            <w:tcW w:w="4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 in inventories</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loans to customers</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 in trade and other payables</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1,787</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5,926</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12,925</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8,559</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deferred revenue</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505</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(514)</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747</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4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 in other liabilities</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401</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2,116</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(4,112)</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(3,243)</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(5,452)</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16,473</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23,542</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26,564</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56,662</w:t>
            </w:r>
          </w:p>
        </w:tc>
        <w:tc>
          <w:tcPr>
            <w:tcW w:w="0" w:type="dxa"/>
            <w:vAlign w:val="bottom"/>
          </w:tcPr>
          <w:p>
            <w:pPr>
              <w:spacing w:after="0"/>
              <w:rPr>
                <w:sz w:val="1"/>
                <w:szCs w:val="1"/>
                <w:color w:val="auto"/>
              </w:rPr>
            </w:pPr>
          </w:p>
        </w:tc>
      </w:tr>
      <w:tr>
        <w:trPr>
          <w:trHeight w:val="210"/>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Purchase of equipment</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(429)</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(1,060)</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(3,187)</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expenditure</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(1,476)</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(1,878)</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(4,836)</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(6,789)</w:t>
            </w:r>
          </w:p>
        </w:tc>
        <w:tc>
          <w:tcPr>
            <w:tcW w:w="0" w:type="dxa"/>
            <w:vAlign w:val="bottom"/>
          </w:tcPr>
          <w:p>
            <w:pPr>
              <w:spacing w:after="0"/>
              <w:rPr>
                <w:sz w:val="1"/>
                <w:szCs w:val="1"/>
                <w:color w:val="auto"/>
              </w:rPr>
            </w:pPr>
          </w:p>
        </w:tc>
      </w:tr>
      <w:tr>
        <w:trPr>
          <w:trHeight w:val="216"/>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Acquisition of subsidiary, net of cash acquired</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(9,008)</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shares in former associates</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36,879</w:t>
            </w:r>
          </w:p>
        </w:tc>
        <w:tc>
          <w:tcPr>
            <w:tcW w:w="0" w:type="dxa"/>
            <w:vAlign w:val="bottom"/>
          </w:tcPr>
          <w:p>
            <w:pPr>
              <w:spacing w:after="0"/>
              <w:rPr>
                <w:sz w:val="1"/>
                <w:szCs w:val="1"/>
                <w:color w:val="auto"/>
              </w:rPr>
            </w:pPr>
          </w:p>
        </w:tc>
      </w:tr>
      <w:tr>
        <w:trPr>
          <w:trHeight w:val="216"/>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sale (purchase) of listed equity instruments</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(3,057)</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(84,835)</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16,178</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received</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569</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00" w:type="dxa"/>
            <w:vAlign w:val="bottom"/>
            <w:gridSpan w:val="3"/>
          </w:tcPr>
          <w:p>
            <w:pPr>
              <w:ind w:left="340"/>
              <w:spacing w:after="0" w:line="188" w:lineRule="exact"/>
              <w:rPr>
                <w:sz w:val="20"/>
                <w:szCs w:val="20"/>
                <w:color w:val="auto"/>
              </w:rPr>
            </w:pPr>
            <w:r>
              <w:rPr>
                <w:rFonts w:ascii="Times New Roman" w:cs="Times New Roman" w:eastAsia="Times New Roman" w:hAnsi="Times New Roman"/>
                <w:sz w:val="18"/>
                <w:szCs w:val="18"/>
                <w:b w:val="1"/>
                <w:bCs w:val="1"/>
                <w:color w:val="auto"/>
              </w:rPr>
              <w:t>Net cash flow from (used in) investing</w:t>
            </w:r>
          </w:p>
        </w:tc>
        <w:tc>
          <w:tcPr>
            <w:tcW w:w="1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(1,537)</w:t>
            </w:r>
          </w:p>
        </w:tc>
        <w:tc>
          <w:tcPr>
            <w:tcW w:w="1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(4,795)</w:t>
            </w:r>
          </w:p>
        </w:tc>
        <w:tc>
          <w:tcPr>
            <w:tcW w:w="1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(49,703)</w:t>
            </w:r>
          </w:p>
        </w:tc>
        <w:tc>
          <w:tcPr>
            <w:tcW w:w="1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44,450</w:t>
            </w:r>
          </w:p>
        </w:tc>
        <w:tc>
          <w:tcPr>
            <w:tcW w:w="0" w:type="dxa"/>
            <w:vAlign w:val="bottom"/>
          </w:tcPr>
          <w:p>
            <w:pPr>
              <w:spacing w:after="0"/>
              <w:rPr>
                <w:sz w:val="1"/>
                <w:szCs w:val="1"/>
                <w:color w:val="auto"/>
              </w:rPr>
            </w:pPr>
          </w:p>
        </w:tc>
      </w:tr>
      <w:tr>
        <w:trPr>
          <w:trHeight w:val="225"/>
        </w:trPr>
        <w:tc>
          <w:tcPr>
            <w:tcW w:w="40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820" w:type="dxa"/>
            <w:vAlign w:val="bottom"/>
            <w:gridSpan w:val="2"/>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(131,822)</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(749)</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(146,068)</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loans and borrowings</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Interests on loans and borrowings</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loans and borrowings</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(499)</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(1,334)</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(953)</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(5,119)</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flow used in financing activities</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(1,495)</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(132,993)</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(6,683)</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(150,578)</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13,441</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(114,245)</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(29,822)</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(49,465)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89,964</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166,071</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134,168</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102,876</w:t>
            </w:r>
          </w:p>
        </w:tc>
        <w:tc>
          <w:tcPr>
            <w:tcW w:w="0" w:type="dxa"/>
            <w:vAlign w:val="bottom"/>
          </w:tcPr>
          <w:p>
            <w:pPr>
              <w:spacing w:after="0"/>
              <w:rPr>
                <w:sz w:val="1"/>
                <w:szCs w:val="1"/>
                <w:color w:val="auto"/>
              </w:rPr>
            </w:pPr>
          </w:p>
        </w:tc>
      </w:tr>
      <w:tr>
        <w:trPr>
          <w:trHeight w:val="198"/>
        </w:trPr>
        <w:tc>
          <w:tcPr>
            <w:tcW w:w="40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1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(530)</w:t>
            </w:r>
          </w:p>
        </w:tc>
        <w:tc>
          <w:tcPr>
            <w:tcW w:w="18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589</w:t>
            </w:r>
          </w:p>
        </w:tc>
        <w:tc>
          <w:tcPr>
            <w:tcW w:w="1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(1,472)</w:t>
            </w:r>
          </w:p>
        </w:tc>
        <w:tc>
          <w:tcPr>
            <w:tcW w:w="1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1"/>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820" w:type="dxa"/>
            <w:vAlign w:val="bottom"/>
            <w:gridSpan w:val="2"/>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102,876</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52,414</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102,876</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52,414</w:t>
            </w:r>
          </w:p>
        </w:tc>
        <w:tc>
          <w:tcPr>
            <w:tcW w:w="0" w:type="dxa"/>
            <w:vAlign w:val="bottom"/>
          </w:tcPr>
          <w:p>
            <w:pPr>
              <w:spacing w:after="0"/>
              <w:rPr>
                <w:sz w:val="1"/>
                <w:szCs w:val="1"/>
                <w:color w:val="auto"/>
              </w:rPr>
            </w:pPr>
          </w:p>
        </w:tc>
      </w:tr>
      <w:tr>
        <w:trPr>
          <w:trHeight w:val="554"/>
        </w:trPr>
        <w:tc>
          <w:tcPr>
            <w:tcW w:w="38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Details by Business Area</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2660" w:type="dxa"/>
            <w:vAlign w:val="bottom"/>
            <w:shd w:val="clear" w:color="auto" w:fill="000000"/>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tables below specify the contribution by each business area.</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522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2021</w:t>
            </w:r>
          </w:p>
        </w:tc>
      </w:tr>
      <w:tr>
        <w:trPr>
          <w:trHeight w:val="210"/>
        </w:trPr>
        <w:tc>
          <w:tcPr>
            <w:tcW w:w="5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area</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Browser and News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9"/>
        </w:trPr>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categories: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Search</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34,751</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34,751</w:t>
            </w: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37,309</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(643)</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36,666</w:t>
            </w: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1,210</w:t>
            </w:r>
          </w:p>
        </w:tc>
      </w:tr>
      <w:tr>
        <w:trPr>
          <w:trHeight w:val="20"/>
        </w:trPr>
        <w:tc>
          <w:tcPr>
            <w:tcW w:w="2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(1,615)</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72,626</w:t>
            </w:r>
          </w:p>
        </w:tc>
      </w:tr>
      <w:tr>
        <w:trPr>
          <w:trHeight w:val="216"/>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(1,264)</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(1,297)</w:t>
            </w: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Content cost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(1,222)</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inventory sold</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(3,488)</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(3,043)</w:t>
            </w: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(30,144)</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(29,969)</w:t>
            </w: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266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0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direct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(36,326)</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(35,680)</w:t>
            </w:r>
          </w:p>
        </w:tc>
      </w:tr>
      <w:tr>
        <w:trPr>
          <w:trHeight w:val="20"/>
        </w:trPr>
        <w:tc>
          <w:tcPr>
            <w:tcW w:w="2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 by business area</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(969)</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36,947</w:t>
            </w:r>
          </w:p>
        </w:tc>
      </w:tr>
      <w:tr>
        <w:trPr>
          <w:trHeight w:val="20"/>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522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2022</w:t>
            </w:r>
          </w:p>
        </w:tc>
      </w:tr>
      <w:tr>
        <w:trPr>
          <w:trHeight w:val="209"/>
        </w:trPr>
        <w:tc>
          <w:tcPr>
            <w:tcW w:w="5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area</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Browser and News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9"/>
        </w:trPr>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categories: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Search</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39,034</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39,034</w:t>
            </w: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56,746</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56,753</w:t>
            </w: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r>
      <w:tr>
        <w:trPr>
          <w:trHeight w:val="20"/>
        </w:trPr>
        <w:tc>
          <w:tcPr>
            <w:tcW w:w="2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96,272</w:t>
            </w:r>
          </w:p>
        </w:tc>
      </w:tr>
      <w:tr>
        <w:trPr>
          <w:trHeight w:val="216"/>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(784)</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Content cost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(891)</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inventory sold</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(17,277)</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(17,277)</w:t>
            </w: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(29,388)</w:t>
            </w:r>
          </w:p>
        </w:tc>
        <w:tc>
          <w:tcPr>
            <w:tcW w:w="10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(29,558)</w:t>
            </w: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(1,027)</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(977)</w:t>
            </w:r>
          </w:p>
        </w:tc>
      </w:tr>
      <w:tr>
        <w:trPr>
          <w:trHeight w:val="20"/>
        </w:trPr>
        <w:tc>
          <w:tcPr>
            <w:tcW w:w="266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0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direct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(49,368)</w:t>
            </w:r>
          </w:p>
        </w:tc>
        <w:tc>
          <w:tcPr>
            <w:tcW w:w="10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(49,487)</w:t>
            </w:r>
          </w:p>
        </w:tc>
      </w:tr>
      <w:tr>
        <w:trPr>
          <w:trHeight w:val="20"/>
        </w:trPr>
        <w:tc>
          <w:tcPr>
            <w:tcW w:w="2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 by business area</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46,427</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46,785</w:t>
            </w:r>
          </w:p>
        </w:tc>
      </w:tr>
      <w:tr>
        <w:trPr>
          <w:trHeight w:val="20"/>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522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2021</w:t>
            </w:r>
          </w:p>
        </w:tc>
      </w:tr>
      <w:tr>
        <w:trPr>
          <w:trHeight w:val="210"/>
        </w:trPr>
        <w:tc>
          <w:tcPr>
            <w:tcW w:w="5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area</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Browser and News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categories: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Search</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121,961</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121,961</w:t>
            </w: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123,870</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123,910</w:t>
            </w: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5,120</w:t>
            </w:r>
          </w:p>
        </w:tc>
      </w:tr>
      <w:tr>
        <w:trPr>
          <w:trHeight w:val="20"/>
        </w:trPr>
        <w:tc>
          <w:tcPr>
            <w:tcW w:w="2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248,013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2,978</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250,991</w:t>
            </w:r>
          </w:p>
        </w:tc>
      </w:tr>
      <w:tr>
        <w:trPr>
          <w:trHeight w:val="216"/>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(3,899)</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(4,472)</w:t>
            </w: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Content cost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(3,712)</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(3,712)</w:t>
            </w: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inventory sold</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(5,506)</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(5,507)</w:t>
            </w: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(120,385)</w:t>
            </w:r>
          </w:p>
        </w:tc>
        <w:tc>
          <w:tcPr>
            <w:tcW w:w="10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(120,944)</w:t>
            </w: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w:t>
            </w:r>
          </w:p>
        </w:tc>
      </w:tr>
      <w:tr>
        <w:trPr>
          <w:trHeight w:val="20"/>
        </w:trPr>
        <w:tc>
          <w:tcPr>
            <w:tcW w:w="266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0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direct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(134,059)</w:t>
            </w:r>
          </w:p>
        </w:tc>
        <w:tc>
          <w:tcPr>
            <w:tcW w:w="10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(1,133)</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(135,192)</w:t>
            </w:r>
          </w:p>
        </w:tc>
      </w:tr>
      <w:tr>
        <w:trPr>
          <w:trHeight w:val="20"/>
        </w:trPr>
        <w:tc>
          <w:tcPr>
            <w:tcW w:w="2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 by business area</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113,954</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1,845</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115,800</w:t>
            </w:r>
          </w:p>
        </w:tc>
      </w:tr>
      <w:tr>
        <w:trPr>
          <w:trHeight w:val="20"/>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522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2022</w:t>
            </w:r>
          </w:p>
        </w:tc>
      </w:tr>
      <w:tr>
        <w:trPr>
          <w:trHeight w:val="210"/>
        </w:trPr>
        <w:tc>
          <w:tcPr>
            <w:tcW w:w="5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area</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Browser and News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9"/>
        </w:trPr>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categories: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Search</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140,162</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140,162</w:t>
            </w: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187,405</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187,434</w:t>
            </w: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2,652</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3,441</w:t>
            </w:r>
          </w:p>
        </w:tc>
      </w:tr>
      <w:tr>
        <w:trPr>
          <w:trHeight w:val="20"/>
        </w:trPr>
        <w:tc>
          <w:tcPr>
            <w:tcW w:w="2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328,356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2,681</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331,037</w:t>
            </w:r>
          </w:p>
        </w:tc>
      </w:tr>
      <w:tr>
        <w:trPr>
          <w:trHeight w:val="216"/>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(4,103)</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(4,104)</w:t>
            </w: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Content cost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(3,834)</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(3,834)</w:t>
            </w: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inventory sold</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(46,650)</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(46,650)</w:t>
            </w:r>
          </w:p>
        </w:tc>
      </w:tr>
      <w:tr>
        <w:trPr>
          <w:trHeight w:val="216"/>
        </w:trPr>
        <w:tc>
          <w:tcPr>
            <w:tcW w:w="6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(114,522)</w:t>
            </w:r>
          </w:p>
        </w:tc>
        <w:tc>
          <w:tcPr>
            <w:tcW w:w="10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(114,988)</w:t>
            </w:r>
          </w:p>
        </w:tc>
      </w:tr>
      <w:tr>
        <w:trPr>
          <w:trHeight w:val="216"/>
        </w:trPr>
        <w:tc>
          <w:tcPr>
            <w:tcW w:w="6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(1,436)</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(1,387)</w:t>
            </w:r>
          </w:p>
        </w:tc>
      </w:tr>
      <w:tr>
        <w:trPr>
          <w:trHeight w:val="20"/>
        </w:trPr>
        <w:tc>
          <w:tcPr>
            <w:tcW w:w="266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0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direct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(170,545)</w:t>
            </w:r>
          </w:p>
        </w:tc>
        <w:tc>
          <w:tcPr>
            <w:tcW w:w="10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(170,964)</w:t>
            </w:r>
          </w:p>
        </w:tc>
      </w:tr>
      <w:tr>
        <w:trPr>
          <w:trHeight w:val="20"/>
        </w:trPr>
        <w:tc>
          <w:tcPr>
            <w:tcW w:w="2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 by business area</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157,811</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2,263</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160,073</w:t>
            </w:r>
          </w:p>
        </w:tc>
      </w:tr>
      <w:tr>
        <w:trPr>
          <w:trHeight w:val="554"/>
        </w:trPr>
        <w:tc>
          <w:tcPr>
            <w:tcW w:w="2660" w:type="dxa"/>
            <w:vAlign w:val="bottom"/>
            <w:tcBorders>
              <w:top w:val="single" w:sz="8" w:color="CCEEFF"/>
              <w:bottom w:val="single" w:sz="8" w:color="auto"/>
            </w:tcBorders>
          </w:tcPr>
          <w:p>
            <w:pPr>
              <w:spacing w:after="0"/>
              <w:rPr>
                <w:sz w:val="24"/>
                <w:szCs w:val="24"/>
                <w:color w:val="auto"/>
              </w:rPr>
            </w:pPr>
          </w:p>
        </w:tc>
        <w:tc>
          <w:tcPr>
            <w:tcW w:w="32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77"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Personnel Expenses Including Share-based Remuneration</w:t>
            </w:r>
          </w:p>
        </w:tc>
        <w:tc>
          <w:tcPr>
            <w:tcW w:w="13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table below specifies the amounts of personnel expenses including share-based remuneration.</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w:t>
            </w: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0" w:type="dxa"/>
            <w:vAlign w:val="bottom"/>
          </w:tcPr>
          <w:p>
            <w:pPr>
              <w:spacing w:after="0"/>
              <w:rPr>
                <w:sz w:val="1"/>
                <w:szCs w:val="1"/>
                <w:color w:val="auto"/>
              </w:rPr>
            </w:pPr>
          </w:p>
        </w:tc>
      </w:tr>
      <w:tr>
        <w:trPr>
          <w:trHeight w:val="238"/>
        </w:trPr>
        <w:tc>
          <w:tcPr>
            <w:tcW w:w="57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164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auto"/>
            </w:tcBorders>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 excluding share-based remuneration</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14,125</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63,984</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65,284</w:t>
            </w:r>
          </w:p>
        </w:tc>
        <w:tc>
          <w:tcPr>
            <w:tcW w:w="0" w:type="dxa"/>
            <w:vAlign w:val="bottom"/>
          </w:tcPr>
          <w:p>
            <w:pPr>
              <w:spacing w:after="0"/>
              <w:rPr>
                <w:sz w:val="1"/>
                <w:szCs w:val="1"/>
                <w:color w:val="auto"/>
              </w:rPr>
            </w:pPr>
          </w:p>
        </w:tc>
      </w:tr>
      <w:tr>
        <w:trPr>
          <w:trHeight w:val="216"/>
        </w:trPr>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Share-based remuneration, including related social security costs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9,304</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personnel expenses including share-based remuneration</w:t>
            </w:r>
          </w:p>
        </w:tc>
        <w:tc>
          <w:tcPr>
            <w:tcW w:w="120" w:type="dxa"/>
            <w:vAlign w:val="bottom"/>
            <w:tcBorders>
              <w:right w:val="single" w:sz="8" w:color="CCEEFF"/>
            </w:tcBorders>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17,668</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74,450</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74,588</w:t>
            </w:r>
          </w:p>
        </w:tc>
        <w:tc>
          <w:tcPr>
            <w:tcW w:w="0" w:type="dxa"/>
            <w:vAlign w:val="bottom"/>
          </w:tcPr>
          <w:p>
            <w:pPr>
              <w:spacing w:after="0"/>
              <w:rPr>
                <w:sz w:val="1"/>
                <w:szCs w:val="1"/>
                <w:color w:val="auto"/>
              </w:rPr>
            </w:pPr>
          </w:p>
        </w:tc>
      </w:tr>
      <w:tr>
        <w:trPr>
          <w:trHeight w:val="588"/>
        </w:trPr>
        <w:tc>
          <w:tcPr>
            <w:tcW w:w="2060" w:type="dxa"/>
            <w:vAlign w:val="bottom"/>
            <w:tcBorders>
              <w:top w:val="single" w:sz="8" w:color="CCEEFF"/>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Other Operating Expenses</w:t>
            </w:r>
          </w:p>
        </w:tc>
        <w:tc>
          <w:tcPr>
            <w:tcW w:w="3720" w:type="dxa"/>
            <w:vAlign w:val="bottom"/>
            <w:tcBorders>
              <w:top w:val="single" w:sz="8" w:color="CCEEFF"/>
            </w:tcBorders>
            <w:gridSpan w:val="3"/>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table below specifies the nature of other operating expenses.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 Ended December</w:t>
            </w: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Twelve Months Ended December</w:t>
            </w:r>
          </w:p>
        </w:tc>
        <w:tc>
          <w:tcPr>
            <w:tcW w:w="0" w:type="dxa"/>
            <w:vAlign w:val="bottom"/>
          </w:tcPr>
          <w:p>
            <w:pPr>
              <w:spacing w:after="0"/>
              <w:rPr>
                <w:sz w:val="1"/>
                <w:szCs w:val="1"/>
                <w:color w:val="auto"/>
              </w:rPr>
            </w:pPr>
          </w:p>
        </w:tc>
      </w:tr>
      <w:tr>
        <w:trPr>
          <w:trHeight w:val="238"/>
        </w:trPr>
        <w:tc>
          <w:tcPr>
            <w:tcW w:w="5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20" w:type="dxa"/>
            <w:vAlign w:val="bottom"/>
            <w:vMerge w:val="restart"/>
          </w:tcPr>
          <w:p>
            <w:pPr>
              <w:spacing w:after="0"/>
              <w:rPr>
                <w:sz w:val="20"/>
                <w:szCs w:val="20"/>
                <w:color w:val="auto"/>
              </w:rPr>
            </w:pPr>
          </w:p>
        </w:tc>
        <w:tc>
          <w:tcPr>
            <w:tcW w:w="146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0" w:type="dxa"/>
            <w:vAlign w:val="bottom"/>
            <w:gridSpan w:val="2"/>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60" w:type="dxa"/>
            <w:vAlign w:val="bottom"/>
            <w:tcBorders>
              <w:bottom w:val="single" w:sz="8" w:color="auto"/>
            </w:tcBorders>
            <w:gridSpan w:val="3"/>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9,267</w:t>
            </w:r>
          </w:p>
        </w:tc>
        <w:tc>
          <w:tcPr>
            <w:tcW w:w="0" w:type="dxa"/>
            <w:vAlign w:val="bottom"/>
          </w:tcPr>
          <w:p>
            <w:pPr>
              <w:spacing w:after="0"/>
              <w:rPr>
                <w:sz w:val="1"/>
                <w:szCs w:val="1"/>
                <w:color w:val="auto"/>
              </w:rPr>
            </w:pPr>
          </w:p>
        </w:tc>
      </w:tr>
      <w:tr>
        <w:trPr>
          <w:trHeight w:val="216"/>
        </w:trPr>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Audit, legal and other advisory services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6,857</w:t>
            </w: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license fees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16"/>
        </w:trPr>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Rent and other office expense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3,743</w:t>
            </w: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16"/>
        </w:trPr>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120" w:type="dxa"/>
            <w:vAlign w:val="bottom"/>
            <w:tcBorders>
              <w:right w:val="single" w:sz="8" w:color="CCEEFF"/>
            </w:tcBorders>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26,705</w:t>
            </w:r>
          </w:p>
        </w:tc>
        <w:tc>
          <w:tcPr>
            <w:tcW w:w="0" w:type="dxa"/>
            <w:vAlign w:val="bottom"/>
          </w:tcPr>
          <w:p>
            <w:pPr>
              <w:spacing w:after="0"/>
              <w:rPr>
                <w:sz w:val="1"/>
                <w:szCs w:val="1"/>
                <w:color w:val="auto"/>
              </w:rPr>
            </w:pPr>
          </w:p>
        </w:tc>
      </w:tr>
      <w:tr>
        <w:trPr>
          <w:trHeight w:val="554"/>
        </w:trPr>
        <w:tc>
          <w:tcPr>
            <w:tcW w:w="2060" w:type="dxa"/>
            <w:vAlign w:val="bottom"/>
            <w:tcBorders>
              <w:top w:val="single" w:sz="8" w:color="CCEEFF"/>
              <w:bottom w:val="single" w:sz="8" w:color="auto"/>
            </w:tcBorders>
          </w:tcPr>
          <w:p>
            <w:pPr>
              <w:spacing w:after="0"/>
              <w:rPr>
                <w:sz w:val="24"/>
                <w:szCs w:val="24"/>
                <w:color w:val="auto"/>
              </w:rPr>
            </w:pPr>
          </w:p>
        </w:tc>
        <w:tc>
          <w:tcPr>
            <w:tcW w:w="240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34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w:t>
            </w:r>
          </w:p>
        </w:tc>
        <w:tc>
          <w:tcPr>
            <w:tcW w:w="27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w:t>
            </w:r>
          </w:p>
        </w:tc>
        <w:tc>
          <w:tcPr>
            <w:tcW w:w="0" w:type="dxa"/>
            <w:vAlign w:val="bottom"/>
          </w:tcPr>
          <w:p>
            <w:pPr>
              <w:spacing w:after="0"/>
              <w:rPr>
                <w:sz w:val="1"/>
                <w:szCs w:val="1"/>
                <w:color w:val="auto"/>
              </w:rPr>
            </w:pPr>
          </w:p>
        </w:tc>
      </w:tr>
      <w:tr>
        <w:trPr>
          <w:trHeight w:val="238"/>
        </w:trPr>
        <w:tc>
          <w:tcPr>
            <w:tcW w:w="5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[US$ thousands, except per ADS and share amounts]</w:t>
            </w:r>
          </w:p>
        </w:tc>
        <w:tc>
          <w:tcPr>
            <w:tcW w:w="120" w:type="dxa"/>
            <w:vAlign w:val="bottom"/>
            <w:vMerge w:val="restart"/>
          </w:tcPr>
          <w:p>
            <w:pPr>
              <w:spacing w:after="0"/>
              <w:rPr>
                <w:sz w:val="20"/>
                <w:szCs w:val="20"/>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auto"/>
            </w:tcBorders>
            <w:gridSpan w:val="4"/>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70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Reconciliation of net income (loss) to adjusted EBITDA</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40" w:type="dxa"/>
            <w:vAlign w:val="bottom"/>
            <w:tcBorders>
              <w:top w:val="single" w:sz="8" w:color="CCEEFF"/>
            </w:tcBorders>
            <w:gridSpan w:val="3"/>
          </w:tcPr>
          <w:p>
            <w:pPr>
              <w:spacing w:after="0"/>
              <w:rPr>
                <w:sz w:val="18"/>
                <w:szCs w:val="18"/>
                <w:color w:val="auto"/>
              </w:rPr>
            </w:pPr>
          </w:p>
        </w:tc>
        <w:tc>
          <w:tcPr>
            <w:tcW w:w="13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(112,390)</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20,922</w:t>
            </w:r>
          </w:p>
        </w:tc>
        <w:tc>
          <w:tcPr>
            <w:tcW w:w="14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(43,964)</w:t>
            </w: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15,035</w:t>
            </w:r>
          </w:p>
        </w:tc>
        <w:tc>
          <w:tcPr>
            <w:tcW w:w="0" w:type="dxa"/>
            <w:vAlign w:val="bottom"/>
          </w:tcPr>
          <w:p>
            <w:pPr>
              <w:spacing w:after="0"/>
              <w:rPr>
                <w:sz w:val="1"/>
                <w:szCs w:val="1"/>
                <w:color w:val="auto"/>
              </w:rPr>
            </w:pPr>
          </w:p>
        </w:tc>
      </w:tr>
      <w:tr>
        <w:trPr>
          <w:trHeight w:val="216"/>
        </w:trPr>
        <w:tc>
          <w:tcPr>
            <w:tcW w:w="5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(deduct):</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2,435</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8,835</w:t>
            </w:r>
          </w:p>
        </w:tc>
        <w:tc>
          <w:tcPr>
            <w:tcW w:w="0" w:type="dxa"/>
            <w:vAlign w:val="bottom"/>
          </w:tcPr>
          <w:p>
            <w:pPr>
              <w:spacing w:after="0"/>
              <w:rPr>
                <w:sz w:val="1"/>
                <w:szCs w:val="1"/>
                <w:color w:val="auto"/>
              </w:rPr>
            </w:pPr>
          </w:p>
        </w:tc>
      </w:tr>
      <w:tr>
        <w:trPr>
          <w:trHeight w:val="216"/>
        </w:trPr>
        <w:tc>
          <w:tcPr>
            <w:tcW w:w="57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(6,898)</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18,224</w:t>
            </w:r>
          </w:p>
        </w:tc>
        <w:tc>
          <w:tcPr>
            <w:tcW w:w="0" w:type="dxa"/>
            <w:vAlign w:val="bottom"/>
          </w:tcPr>
          <w:p>
            <w:pPr>
              <w:spacing w:after="0"/>
              <w:rPr>
                <w:sz w:val="1"/>
                <w:szCs w:val="1"/>
                <w:color w:val="auto"/>
              </w:rPr>
            </w:pPr>
          </w:p>
        </w:tc>
      </w:tr>
      <w:tr>
        <w:trPr>
          <w:trHeight w:val="216"/>
        </w:trPr>
        <w:tc>
          <w:tcPr>
            <w:tcW w:w="5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24,480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7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associates and joint ventures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115,477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115,477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4,555</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3,490</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19,600</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13,939</w:t>
            </w:r>
          </w:p>
        </w:tc>
        <w:tc>
          <w:tcPr>
            <w:tcW w:w="0" w:type="dxa"/>
            <w:vAlign w:val="bottom"/>
          </w:tcPr>
          <w:p>
            <w:pPr>
              <w:spacing w:after="0"/>
              <w:rPr>
                <w:sz w:val="1"/>
                <w:szCs w:val="1"/>
                <w:color w:val="auto"/>
              </w:rPr>
            </w:pPr>
          </w:p>
        </w:tc>
      </w:tr>
      <w:tr>
        <w:trPr>
          <w:trHeight w:val="216"/>
        </w:trPr>
        <w:tc>
          <w:tcPr>
            <w:tcW w:w="57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3,194</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16"/>
        </w:trPr>
        <w:tc>
          <w:tcPr>
            <w:tcW w:w="5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Share-based remuneration</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4,096</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9,304</w:t>
            </w:r>
          </w:p>
        </w:tc>
        <w:tc>
          <w:tcPr>
            <w:tcW w:w="0" w:type="dxa"/>
            <w:vAlign w:val="bottom"/>
          </w:tcPr>
          <w:p>
            <w:pPr>
              <w:spacing w:after="0"/>
              <w:rPr>
                <w:sz w:val="1"/>
                <w:szCs w:val="1"/>
                <w:color w:val="auto"/>
              </w:rPr>
            </w:pPr>
          </w:p>
        </w:tc>
      </w:tr>
      <w:tr>
        <w:trPr>
          <w:trHeight w:val="216"/>
        </w:trPr>
        <w:tc>
          <w:tcPr>
            <w:tcW w:w="57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Non-recurring expenses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6"/>
        </w:trPr>
        <w:tc>
          <w:tcPr>
            <w:tcW w:w="5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Fair value gain on investments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(31,101)</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(116,561)</w:t>
            </w: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57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income</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5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17,254</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22,784</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29,012</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68,084</w:t>
            </w:r>
          </w:p>
        </w:tc>
        <w:tc>
          <w:tcPr>
            <w:tcW w:w="0" w:type="dxa"/>
            <w:vAlign w:val="bottom"/>
          </w:tcPr>
          <w:p>
            <w:pPr>
              <w:spacing w:after="0"/>
              <w:rPr>
                <w:sz w:val="1"/>
                <w:szCs w:val="1"/>
                <w:color w:val="auto"/>
              </w:rPr>
            </w:pPr>
          </w:p>
        </w:tc>
      </w:tr>
      <w:tr>
        <w:trPr>
          <w:trHeight w:val="196"/>
        </w:trPr>
        <w:tc>
          <w:tcPr>
            <w:tcW w:w="234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net income (loss) to adjusted net income</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00" w:type="dxa"/>
            <w:vAlign w:val="bottom"/>
            <w:tcBorders>
              <w:top w:val="single" w:sz="8" w:color="CCEEFF"/>
            </w:tcBorders>
            <w:gridSpan w:val="2"/>
          </w:tcPr>
          <w:p>
            <w:pPr>
              <w:spacing w:after="0"/>
              <w:rPr>
                <w:sz w:val="18"/>
                <w:szCs w:val="18"/>
                <w:color w:val="auto"/>
              </w:rPr>
            </w:pPr>
          </w:p>
        </w:tc>
        <w:tc>
          <w:tcPr>
            <w:tcW w:w="13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(112,390)</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20,922</w:t>
            </w:r>
          </w:p>
        </w:tc>
        <w:tc>
          <w:tcPr>
            <w:tcW w:w="14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(43,964)</w:t>
            </w: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15,035</w:t>
            </w:r>
          </w:p>
        </w:tc>
        <w:tc>
          <w:tcPr>
            <w:tcW w:w="0" w:type="dxa"/>
            <w:vAlign w:val="bottom"/>
          </w:tcPr>
          <w:p>
            <w:pPr>
              <w:spacing w:after="0"/>
              <w:rPr>
                <w:sz w:val="1"/>
                <w:szCs w:val="1"/>
                <w:color w:val="auto"/>
              </w:rPr>
            </w:pPr>
          </w:p>
        </w:tc>
      </w:tr>
      <w:tr>
        <w:trPr>
          <w:trHeight w:val="216"/>
        </w:trPr>
        <w:tc>
          <w:tcPr>
            <w:tcW w:w="5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(deduct):</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Share-based remuneration</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4,096</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9,304</w:t>
            </w:r>
          </w:p>
        </w:tc>
        <w:tc>
          <w:tcPr>
            <w:tcW w:w="0" w:type="dxa"/>
            <w:vAlign w:val="bottom"/>
          </w:tcPr>
          <w:p>
            <w:pPr>
              <w:spacing w:after="0"/>
              <w:rPr>
                <w:sz w:val="1"/>
                <w:szCs w:val="1"/>
                <w:color w:val="auto"/>
              </w:rPr>
            </w:pPr>
          </w:p>
        </w:tc>
      </w:tr>
      <w:tr>
        <w:trPr>
          <w:trHeight w:val="216"/>
        </w:trPr>
        <w:tc>
          <w:tcPr>
            <w:tcW w:w="57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2,580</w:t>
            </w:r>
          </w:p>
        </w:tc>
        <w:tc>
          <w:tcPr>
            <w:tcW w:w="0" w:type="dxa"/>
            <w:vAlign w:val="bottom"/>
          </w:tcPr>
          <w:p>
            <w:pPr>
              <w:spacing w:after="0"/>
              <w:rPr>
                <w:sz w:val="1"/>
                <w:szCs w:val="1"/>
                <w:color w:val="auto"/>
              </w:rPr>
            </w:pPr>
          </w:p>
        </w:tc>
      </w:tr>
      <w:tr>
        <w:trPr>
          <w:trHeight w:val="216"/>
        </w:trPr>
        <w:tc>
          <w:tcPr>
            <w:tcW w:w="5700" w:type="dxa"/>
            <w:vAlign w:val="bottom"/>
            <w:gridSpan w:val="5"/>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Nanobank intangible assets </w:t>
            </w:r>
            <w:r>
              <w:rPr>
                <w:rFonts w:ascii="Times New Roman" w:cs="Times New Roman" w:eastAsia="Times New Roman" w:hAnsi="Times New Roman"/>
                <w:sz w:val="25"/>
                <w:szCs w:val="25"/>
                <w:color w:val="auto"/>
                <w:vertAlign w:val="superscript"/>
              </w:rPr>
              <w:t>(1)</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1,759</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Non-recurring expenses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6"/>
        </w:trPr>
        <w:tc>
          <w:tcPr>
            <w:tcW w:w="5700" w:type="dxa"/>
            <w:vAlign w:val="bottom"/>
            <w:gridSpan w:val="5"/>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Income tax adjustment </w:t>
            </w:r>
            <w:r>
              <w:rPr>
                <w:rFonts w:ascii="Times New Roman" w:cs="Times New Roman" w:eastAsia="Times New Roman" w:hAnsi="Times New Roman"/>
                <w:sz w:val="25"/>
                <w:szCs w:val="25"/>
                <w:color w:val="auto"/>
                <w:vertAlign w:val="superscript"/>
              </w:rPr>
              <w:t>(2)</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(1,366)</w:t>
            </w: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57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(105,673)</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25,890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(22,106)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27,923</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 per ADS and per share: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adjusted net income (loss) per ADS, US$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5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Diluted adjusted net income (loss) per ADS, US$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(0.92)</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57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adjusted net income (loss) per share, US$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4"/>
        </w:trPr>
        <w:tc>
          <w:tcPr>
            <w:tcW w:w="5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Diluted adjusted net income (loss) per share, US$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Nanobank intangible assets is included in Share of net loss of equity-accounted investees in the Statement of Operations.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right="340" w:firstLine="8"/>
        <w:spacing w:after="0" w:line="297"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 of tax benefit related to the social security cost component of share-based remuneration and deferred taxes on the amortization of acquired intangible assets.</w:t>
      </w:r>
    </w:p>
    <w:sectPr>
      <w:pgSz w:w="11900" w:h="16838" w:orient="portrait"/>
      <w:cols w:equalWidth="0" w:num="1">
        <w:col w:w="11240"/>
      </w:cols>
      <w:pgMar w:left="320" w:top="5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2023-02-27T06:15:28Z</dcterms:created>
  <dcterms:modified xsi:type="dcterms:W3CDTF">2023-02-27T06:15:28Z</dcterms:modified>
</cp:coreProperties>
</file>