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142875</wp:posOffset>
            </wp:positionV>
            <wp:extent cx="18097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161290</wp:posOffset>
            </wp:positionV>
            <wp:extent cx="18097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4"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PURSUANT TO RULE 13a-16 OR 15d-16 UNDER</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For the month of August 2018</w:t>
      </w:r>
    </w:p>
    <w:p>
      <w:pPr>
        <w:spacing w:after="0" w:line="225" w:lineRule="exact"/>
        <w:rPr>
          <w:sz w:val="24"/>
          <w:szCs w:val="24"/>
          <w:color w:val="auto"/>
        </w:rPr>
      </w:pPr>
    </w:p>
    <w:p>
      <w:pPr>
        <w:ind w:left="4280"/>
        <w:spacing w:after="0"/>
        <w:rPr>
          <w:sz w:val="20"/>
          <w:szCs w:val="20"/>
          <w:color w:val="auto"/>
        </w:rPr>
      </w:pPr>
      <w:r>
        <w:rPr>
          <w:rFonts w:ascii="Arial" w:cs="Arial" w:eastAsia="Arial" w:hAnsi="Arial"/>
          <w:sz w:val="18"/>
          <w:szCs w:val="18"/>
          <w:b w:val="1"/>
          <w:bCs w:val="1"/>
          <w:color w:val="auto"/>
        </w:rPr>
        <w:t>Commission File Number: 001-38588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292100</wp:posOffset>
            </wp:positionV>
            <wp:extent cx="18097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ind w:left="4380"/>
        <w:spacing w:after="0"/>
        <w:rPr>
          <w:sz w:val="20"/>
          <w:szCs w:val="20"/>
          <w:color w:val="auto"/>
        </w:rPr>
      </w:pPr>
      <w:r>
        <w:rPr>
          <w:rFonts w:ascii="Arial" w:cs="Arial" w:eastAsia="Arial" w:hAnsi="Arial"/>
          <w:sz w:val="32"/>
          <w:szCs w:val="32"/>
          <w:b w:val="1"/>
          <w:bCs w:val="1"/>
          <w:color w:val="auto"/>
        </w:rPr>
        <w:t>OPERA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161290</wp:posOffset>
            </wp:positionV>
            <wp:extent cx="18097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Gjerdrums vei 19,</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0484 Oslo, Norway</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1300"/>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204470</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650240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729" w:right="1440" w:bottom="1440" w:gutter="0" w:footer="0" w:header="0"/>
        </w:sectPr>
      </w:pPr>
    </w:p>
    <w:bookmarkStart w:id="1" w:name="page2"/>
    <w:bookmarkEnd w:id="1"/>
    <w:p>
      <w:pPr>
        <w:jc w:val="center"/>
        <w:ind w:right="-1200"/>
        <w:spacing w:after="0"/>
        <w:rPr>
          <w:sz w:val="20"/>
          <w:szCs w:val="20"/>
          <w:color w:val="auto"/>
        </w:rPr>
      </w:pPr>
      <w:r>
        <w:rPr>
          <w:rFonts w:ascii="Arial" w:cs="Arial" w:eastAsia="Arial" w:hAnsi="Arial"/>
          <w:sz w:val="18"/>
          <w:szCs w:val="18"/>
          <w:color w:val="auto"/>
        </w:rPr>
        <w:t>OPERA LIMITED</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Form 6-K</w:t>
      </w:r>
    </w:p>
    <w:p>
      <w:pPr>
        <w:spacing w:after="0" w:line="225" w:lineRule="exact"/>
        <w:rPr>
          <w:sz w:val="20"/>
          <w:szCs w:val="20"/>
          <w:color w:val="auto"/>
        </w:rPr>
      </w:pPr>
    </w:p>
    <w:p>
      <w:pPr>
        <w:jc w:val="right"/>
        <w:ind w:right="3599"/>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Index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8" w:right="1440" w:bottom="1440" w:gutter="0" w:footer="0" w:header="0"/>
        </w:sectPr>
      </w:pPr>
    </w:p>
    <w:bookmarkStart w:id="2" w:name="page3"/>
    <w:bookmarkEnd w:id="2"/>
    <w:p>
      <w:pPr>
        <w:jc w:val="center"/>
        <w:ind w:right="-499"/>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Opera Limited</w:t>
      </w:r>
    </w:p>
    <w:p>
      <w:pPr>
        <w:spacing w:after="0" w:line="252"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/s/Yahui Zhou</w:t>
      </w:r>
    </w:p>
    <w:p>
      <w:pPr>
        <w:spacing w:after="0" w:line="3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Yahui Zhou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-130175</wp:posOffset>
            </wp:positionV>
            <wp:extent cx="25298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Chairman of the Board and</w:t>
      </w:r>
    </w:p>
    <w:p>
      <w:pPr>
        <w:spacing w:after="0" w:line="9"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August 23,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40"/>
          </w:cols>
          <w:pgMar w:left="240" w:top="908" w:right="719" w:bottom="1440" w:gutter="0" w:footer="0" w:header="0"/>
        </w:sectPr>
      </w:pPr>
    </w:p>
    <w:bookmarkStart w:id="3" w:name="page4"/>
    <w:bookmarkEnd w:id="3"/>
    <w:p>
      <w:pPr>
        <w:jc w:val="right"/>
        <w:ind w:right="3839"/>
        <w:spacing w:after="0"/>
        <w:rPr>
          <w:sz w:val="20"/>
          <w:szCs w:val="20"/>
          <w:color w:val="auto"/>
        </w:rPr>
      </w:pPr>
      <w:r>
        <w:rPr>
          <w:rFonts w:ascii="Arial" w:cs="Arial" w:eastAsia="Arial" w:hAnsi="Arial"/>
          <w:sz w:val="18"/>
          <w:szCs w:val="18"/>
          <w:color w:val="auto"/>
        </w:rPr>
        <w:t>EXHIBIT INDEX</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Exhibit 99.1 —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8"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Opera Limited announces second quarter 2018 financial results</w:t>
      </w:r>
    </w:p>
    <w:p>
      <w:pPr>
        <w:spacing w:after="0" w:line="219"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Oslo, Norway, August 23, 2018 – Opera Limited (Nasdaq: OPRA) (“Opera”), one of the world’s leading browser providers and an influential player in the field of integrated AI-driven digital content discovery and recommendation platforms, today announced its unaudited consolidated financial results for the second quarter ended June 30, 2018.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Second quarter 2018 financial highlights</w:t>
      </w:r>
    </w:p>
    <w:p>
      <w:pPr>
        <w:spacing w:after="0" w:line="27"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Operating revenue was $39.8 million, an increase of 50.3% year-over-year.</w:t>
      </w:r>
    </w:p>
    <w:p>
      <w:pPr>
        <w:spacing w:after="0" w:line="9" w:lineRule="exact"/>
        <w:rPr>
          <w:rFonts w:ascii="Arial" w:cs="Arial" w:eastAsia="Arial" w:hAnsi="Arial"/>
          <w:sz w:val="18"/>
          <w:szCs w:val="18"/>
          <w:color w:val="auto"/>
        </w:rPr>
      </w:pPr>
    </w:p>
    <w:p>
      <w:pPr>
        <w:ind w:left="660" w:right="220" w:hanging="328"/>
        <w:spacing w:after="0" w:line="250"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Net income was $7.4 million, representing a net margin of 18.6%, compared to a net loss of $2.6 million during the second quarter of 2017, which represented a negative 9.6% margin.</w:t>
      </w:r>
    </w:p>
    <w:p>
      <w:pPr>
        <w:ind w:left="660" w:right="100" w:hanging="328"/>
        <w:spacing w:after="0" w:line="182" w:lineRule="auto"/>
        <w:tabs>
          <w:tab w:leader="none" w:pos="660" w:val="left"/>
        </w:tabs>
        <w:numPr>
          <w:ilvl w:val="0"/>
          <w:numId w:val="1"/>
        </w:numPr>
        <w:rPr>
          <w:rFonts w:ascii="Arial" w:cs="Arial" w:eastAsia="Arial" w:hAnsi="Arial"/>
          <w:sz w:val="36"/>
          <w:szCs w:val="36"/>
          <w:color w:val="auto"/>
          <w:vertAlign w:val="superscript"/>
        </w:rPr>
      </w:pPr>
      <w:r>
        <w:rPr>
          <w:rFonts w:ascii="Arial" w:cs="Arial" w:eastAsia="Arial" w:hAnsi="Arial"/>
          <w:sz w:val="18"/>
          <w:szCs w:val="18"/>
          <w:color w:val="auto"/>
        </w:rPr>
        <w:t>Adjusted EBITDA</w:t>
      </w:r>
      <w:r>
        <w:rPr>
          <w:rFonts w:ascii="Arial" w:cs="Arial" w:eastAsia="Arial" w:hAnsi="Arial"/>
          <w:sz w:val="30"/>
          <w:szCs w:val="30"/>
          <w:color w:val="auto"/>
          <w:vertAlign w:val="superscript"/>
        </w:rPr>
        <w:t>(1)</w:t>
      </w:r>
      <w:r>
        <w:rPr>
          <w:rFonts w:ascii="Arial" w:cs="Arial" w:eastAsia="Arial" w:hAnsi="Arial"/>
          <w:sz w:val="18"/>
          <w:szCs w:val="18"/>
          <w:color w:val="auto"/>
        </w:rPr>
        <w:t xml:space="preserve"> was $16.2 million, representing an adjusted EBITDA margin of 40.6%, compared to $4.3 million during the second quarter of 2017, which represented a 16.0% margin.</w:t>
      </w:r>
    </w:p>
    <w:p>
      <w:pPr>
        <w:spacing w:after="0" w:line="1" w:lineRule="exact"/>
        <w:rPr>
          <w:rFonts w:ascii="Arial" w:cs="Arial" w:eastAsia="Arial" w:hAnsi="Arial"/>
          <w:sz w:val="36"/>
          <w:szCs w:val="36"/>
          <w:color w:val="auto"/>
          <w:vertAlign w:val="superscript"/>
        </w:rPr>
      </w:pPr>
    </w:p>
    <w:p>
      <w:pPr>
        <w:ind w:left="660" w:right="420" w:hanging="328"/>
        <w:spacing w:after="0" w:line="182" w:lineRule="auto"/>
        <w:tabs>
          <w:tab w:leader="none" w:pos="660" w:val="left"/>
        </w:tabs>
        <w:numPr>
          <w:ilvl w:val="0"/>
          <w:numId w:val="1"/>
        </w:numPr>
        <w:rPr>
          <w:rFonts w:ascii="Arial" w:cs="Arial" w:eastAsia="Arial" w:hAnsi="Arial"/>
          <w:sz w:val="36"/>
          <w:szCs w:val="36"/>
          <w:color w:val="auto"/>
          <w:vertAlign w:val="superscript"/>
        </w:rPr>
      </w:pPr>
      <w:r>
        <w:rPr>
          <w:rFonts w:ascii="Arial" w:cs="Arial" w:eastAsia="Arial" w:hAnsi="Arial"/>
          <w:sz w:val="18"/>
          <w:szCs w:val="18"/>
          <w:color w:val="auto"/>
        </w:rPr>
        <w:t>Adjusted net income</w:t>
      </w:r>
      <w:r>
        <w:rPr>
          <w:rFonts w:ascii="Arial" w:cs="Arial" w:eastAsia="Arial" w:hAnsi="Arial"/>
          <w:sz w:val="30"/>
          <w:szCs w:val="30"/>
          <w:color w:val="auto"/>
          <w:vertAlign w:val="superscript"/>
        </w:rPr>
        <w:t>(1)</w:t>
      </w:r>
      <w:r>
        <w:rPr>
          <w:rFonts w:ascii="Arial" w:cs="Arial" w:eastAsia="Arial" w:hAnsi="Arial"/>
          <w:sz w:val="18"/>
          <w:szCs w:val="18"/>
          <w:color w:val="auto"/>
        </w:rPr>
        <w:t xml:space="preserve"> was $10.8 million, representing an adjusted net margin of 27.1%, compared to $1.1 million during the second quarter of 2017, which represented a 4.0% margin.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Second quarter 2018 user base highlights</w:t>
      </w:r>
    </w:p>
    <w:p>
      <w:pPr>
        <w:spacing w:after="0" w:line="27" w:lineRule="exact"/>
        <w:rPr>
          <w:sz w:val="20"/>
          <w:szCs w:val="20"/>
          <w:color w:val="auto"/>
        </w:rPr>
      </w:pPr>
    </w:p>
    <w:p>
      <w:pPr>
        <w:jc w:val="both"/>
        <w:ind w:left="660" w:right="200" w:hanging="328"/>
        <w:spacing w:after="0" w:line="281" w:lineRule="auto"/>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Opera News average monthly active users (“MAUs”) in the quarter was 101.0 million (+307.3% year-over-year), of which users on the standalone Opera News app that was launched in January 2018 reached 7.9 million average MAUs in the quarter, with 11.2 million active users in June 2018.</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Total smartphone users reached 182.2 million in the quarter (+13.4% year-over-year).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Total PC users reached 57.1 million in the quarter (+25.2% year-over-year).</w:t>
      </w:r>
    </w:p>
    <w:p>
      <w:pPr>
        <w:spacing w:after="0" w:line="211" w:lineRule="exact"/>
        <w:rPr>
          <w:sz w:val="20"/>
          <w:szCs w:val="20"/>
          <w:color w:val="auto"/>
        </w:rPr>
      </w:pPr>
    </w:p>
    <w:p>
      <w:pPr>
        <w:ind w:right="240"/>
        <w:spacing w:after="0" w:line="272" w:lineRule="auto"/>
        <w:rPr>
          <w:sz w:val="20"/>
          <w:szCs w:val="20"/>
          <w:color w:val="auto"/>
        </w:rPr>
      </w:pPr>
      <w:r>
        <w:rPr>
          <w:rFonts w:ascii="Arial" w:cs="Arial" w:eastAsia="Arial" w:hAnsi="Arial"/>
          <w:sz w:val="17"/>
          <w:szCs w:val="17"/>
          <w:color w:val="auto"/>
        </w:rPr>
        <w:t>Mr. Yahui Zhou, Opera’s Chairman and CEO, stated, “We are excited to present our first quarterly report after becoming a listed company, with records within both revenue and profitability. The IPO process was also very rewarding in that it allowed us to meet so many investors who share our vision – and ambition – for this great company. We continue to execute on our strategy to grow our AI-driven content recommendation platform in Africa and emerging Asia. We are very pleased that Opera News exceeded 100 million MAUs in the second quarter, marking an important milestone in our development of AI-based content services. Further, the standalone Opera News app that we launched earlier this year reached an average MAU of 7.9 million in the quarter – with 11.2 million active users in June. This is a solid foundation for further growth, and demonstrates our commitment and capability to grow and take our AI-based content services to the next level.”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18097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97"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2"/>
          <w:szCs w:val="12"/>
          <w:color w:val="auto"/>
        </w:rPr>
      </w:pPr>
      <w:r>
        <w:rPr>
          <w:rFonts w:ascii="Arial" w:cs="Arial" w:eastAsia="Arial" w:hAnsi="Arial"/>
          <w:sz w:val="14"/>
          <w:szCs w:val="14"/>
          <w:color w:val="auto"/>
        </w:rPr>
        <w:t>Please see the separate section “About non-IFRS financial measures” for details on adjusted EBITDA and adjusted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450215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p>
      <w:pPr>
        <w:ind w:right="60"/>
        <w:spacing w:after="0" w:line="255" w:lineRule="auto"/>
        <w:rPr>
          <w:sz w:val="20"/>
          <w:szCs w:val="20"/>
          <w:color w:val="auto"/>
        </w:rPr>
      </w:pPr>
      <w:r>
        <w:rPr>
          <w:rFonts w:ascii="Arial" w:cs="Arial" w:eastAsia="Arial" w:hAnsi="Arial"/>
          <w:sz w:val="18"/>
          <w:szCs w:val="18"/>
          <w:color w:val="auto"/>
        </w:rPr>
        <w:t>Mr. Lin Song, Opera’s COO, highlighted, “The tremendous growth of Opera News, both as a service in our browsers and as a standalone app, paired with our market presence, publisher partnerships and monetization capabilities, represents an excellent platform for us to continue building a strong and defendable position in the content space in our core markets, and will allow us to further strengthen our monetization potential going forward. We also continue to drive and maintain a healthy PC and smartphone browser user base, fueled by continuous innovation in this space, as well. For instance, in the second quarter we launched Opera Touch, a companion mobile browser for our PC users, which enables seamless transitions between devices. This novel browser later won a Red Dot Award for communication design. Again, this showcases our dedication to lead and attract users by feature-rich browser products and to stay at the forefront of innovation.”</w:t>
      </w:r>
    </w:p>
    <w:p>
      <w:pPr>
        <w:spacing w:after="0" w:line="18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Mr. Frode Jacobsen, Opera’s CFO, said, “We achieved strong results in the second quarter, with over 50% revenue growth year-over-year, and record recurring profitability across all relevant metrics. While we continue to prioritize Opera News user growth and product development, we also achieved robust user-driven revenue growth both in advertising and search revenue, up 63.1% and 26.2% year-over-year, respectively. We remain confident that our strategy and operations will continue delivering on an attractive financial trajectory.”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Second quarter 2018 consolidated financial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Operating revenue </w:t>
      </w:r>
      <w:r>
        <w:rPr>
          <w:rFonts w:ascii="Arial" w:cs="Arial" w:eastAsia="Arial" w:hAnsi="Arial"/>
          <w:sz w:val="18"/>
          <w:szCs w:val="18"/>
          <w:color w:val="auto"/>
        </w:rPr>
        <w:t>was $39.8 million, a 50.3% increase year-over-year.</w:t>
      </w:r>
    </w:p>
    <w:p>
      <w:pPr>
        <w:spacing w:after="0" w:line="27" w:lineRule="exact"/>
        <w:rPr>
          <w:sz w:val="20"/>
          <w:szCs w:val="20"/>
          <w:color w:val="auto"/>
        </w:rPr>
      </w:pPr>
    </w:p>
    <w:p>
      <w:pPr>
        <w:ind w:left="660" w:hanging="328"/>
        <w:spacing w:after="0" w:line="281"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Search revenue was $19.8 million, a 26.2% increase year-over-year. The increase was primarily due to an increase in our average revenue per qualified search following improved monetization by our search partners and the PC user base growth in high-ARPU markets such as Europe and the United States, directly affecting the monetary value of our revenue share. This trend was amplified by our collaboration with search partners to enhance the mobile search experience for many of our users by enabling richer landing pages that also featured more high-end advertisements.</w:t>
      </w:r>
    </w:p>
    <w:p>
      <w:pPr>
        <w:spacing w:after="0" w:line="2" w:lineRule="exact"/>
        <w:rPr>
          <w:rFonts w:ascii="Arial" w:cs="Arial" w:eastAsia="Arial" w:hAnsi="Arial"/>
          <w:sz w:val="16"/>
          <w:szCs w:val="16"/>
          <w:color w:val="auto"/>
        </w:rPr>
      </w:pPr>
    </w:p>
    <w:p>
      <w:pPr>
        <w:ind w:left="660" w:right="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Advertising revenue was $13.7 million, a 63.1% increase year-over-year. The substantial lift followed the introduction of the Opera News service in our mobile browsers. This opened up a new advertising inventory that we began monetizing in the second half of 2017, ultimately resulting in rapid revenue growth on industry-standard mobile ad units. Further, price factors such as growth in high-ARPU markets such as Europe and the United States for the PC user base and closer collaboration with our e-commerce partners to improve conversion rates represented favorable factors towards our overall growth in advertising revenue.</w:t>
      </w:r>
    </w:p>
    <w:p>
      <w:pPr>
        <w:spacing w:after="0" w:line="2" w:lineRule="exact"/>
        <w:rPr>
          <w:rFonts w:ascii="Arial" w:cs="Arial" w:eastAsia="Arial" w:hAnsi="Arial"/>
          <w:sz w:val="18"/>
          <w:szCs w:val="18"/>
          <w:color w:val="auto"/>
        </w:rPr>
      </w:pPr>
    </w:p>
    <w:p>
      <w:pPr>
        <w:ind w:left="660" w:right="100" w:hanging="328"/>
        <w:spacing w:after="0" w:line="261"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Technology licensing and other revenue was $6.3 million, a 163.1% increase year-over-year. This revenue category is volatile in nature, as it largely follows the timing of underlying support and licensing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 w:name="page7"/>
    <w:bookmarkEnd w:id="6"/>
    <w:p>
      <w:pPr>
        <w:ind w:right="60"/>
        <w:spacing w:after="0" w:line="261" w:lineRule="auto"/>
        <w:rPr>
          <w:sz w:val="20"/>
          <w:szCs w:val="20"/>
          <w:color w:val="auto"/>
        </w:rPr>
      </w:pPr>
      <w:r>
        <w:rPr>
          <w:rFonts w:ascii="Arial" w:cs="Arial" w:eastAsia="Arial" w:hAnsi="Arial"/>
          <w:sz w:val="18"/>
          <w:szCs w:val="18"/>
          <w:b w:val="1"/>
          <w:bCs w:val="1"/>
          <w:color w:val="auto"/>
        </w:rPr>
        <w:t xml:space="preserve">Operating expenses </w:t>
      </w:r>
      <w:r>
        <w:rPr>
          <w:rFonts w:ascii="Arial" w:cs="Arial" w:eastAsia="Arial" w:hAnsi="Arial"/>
          <w:sz w:val="18"/>
          <w:szCs w:val="18"/>
          <w:color w:val="auto"/>
        </w:rPr>
        <w:t>totaled $29.4 million, a 1.2% increase year-over-year. Operating expenses represented 73.7% of operating revenue in the second quarter</w:t>
      </w:r>
      <w:r>
        <w:rPr>
          <w:rFonts w:ascii="Arial" w:cs="Arial" w:eastAsia="Arial" w:hAnsi="Arial"/>
          <w:sz w:val="18"/>
          <w:szCs w:val="18"/>
          <w:b w:val="1"/>
          <w:bCs w:val="1"/>
          <w:color w:val="auto"/>
        </w:rPr>
        <w:t xml:space="preserve"> </w:t>
      </w:r>
      <w:r>
        <w:rPr>
          <w:rFonts w:ascii="Arial" w:cs="Arial" w:eastAsia="Arial" w:hAnsi="Arial"/>
          <w:sz w:val="18"/>
          <w:szCs w:val="18"/>
          <w:color w:val="auto"/>
        </w:rPr>
        <w:t>2018, compared to 109.6% in the second quarter 2017.</w:t>
      </w:r>
    </w:p>
    <w:p>
      <w:pPr>
        <w:ind w:left="660" w:right="2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Payouts to publishers and monetization partners were $1.4 million, compared to $0.1 million in the second quarter 2017. This category is growing as the monetization of our user base evolves, with both content and service partnerships supporting the growth.</w:t>
      </w:r>
    </w:p>
    <w:p>
      <w:pPr>
        <w:ind w:left="660" w:right="8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Personnel expenses were $9.4 million, a 16.1% decline year-over-year. This consisted of cash-based compensation expense of $9.1 million, a 9.6% increase year-over-year, and share-based remuneration expense of $0.2 million, a 92.2% decrease from $2.8 million in the second quarter 2017. The decline in share-based remuneration was mainly due to a correction of accrued social security cost, leading to a $1.3 million reduction of social security accruals in the quarter, and the fact that share-based remuneration expense was elevated in 2017 because it was the first year of a new employee Restricted Share Unit program.</w:t>
      </w:r>
    </w:p>
    <w:p>
      <w:pPr>
        <w:spacing w:after="0" w:line="2"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Depreciation and amortization expenses were $3.4 million, a 6.3% decrease year-over-year. The decline is largely explained by equipment in use that is fully depreciated.</w:t>
      </w:r>
    </w:p>
    <w:p>
      <w:pPr>
        <w:ind w:left="660" w:right="180" w:hanging="328"/>
        <w:spacing w:after="0" w:line="265"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Other operating expenses were $15.2 million, a 10.4% increase year-over-year. The increase was primarily due to increased marketing and distribution expenses, totaling $7.8 million in the quarter, which were 19.6% higher than the second quarter 2017, and an increase in the cost of audit, legal and other advisory services during our IPO preparations, totaling $2.6 million in the quarter, which was 242.8% higher than the second quarter 2017. The other expenses in the category, including hosting, office and rent, software license fees, travel and other totaled $4.8 million and was 26.6% down versus the second quarter 2017, mainly driven by a reduction of our hosting costs.</w:t>
      </w:r>
    </w:p>
    <w:p>
      <w:pPr>
        <w:spacing w:after="0" w:line="1" w:lineRule="exact"/>
        <w:rPr>
          <w:rFonts w:ascii="Arial" w:cs="Arial" w:eastAsia="Arial" w:hAnsi="Arial"/>
          <w:sz w:val="17"/>
          <w:szCs w:val="17"/>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Restructuring cost was zero, compared with $0.4 million in the second quarter 2017.</w:t>
      </w:r>
    </w:p>
    <w:p>
      <w:pPr>
        <w:spacing w:after="0" w:line="207"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 xml:space="preserve">Operating profit </w:t>
      </w:r>
      <w:r>
        <w:rPr>
          <w:rFonts w:ascii="Arial" w:cs="Arial" w:eastAsia="Arial" w:hAnsi="Arial"/>
          <w:sz w:val="18"/>
          <w:szCs w:val="18"/>
          <w:color w:val="auto"/>
        </w:rPr>
        <w:t>reached $10.5 million in the quarter, representing an operating margin of 26.3%, compared to a $2.5 million operating loss in the second</w:t>
      </w:r>
      <w:r>
        <w:rPr>
          <w:rFonts w:ascii="Arial" w:cs="Arial" w:eastAsia="Arial" w:hAnsi="Arial"/>
          <w:sz w:val="18"/>
          <w:szCs w:val="18"/>
          <w:b w:val="1"/>
          <w:bCs w:val="1"/>
          <w:color w:val="auto"/>
        </w:rPr>
        <w:t xml:space="preserve"> </w:t>
      </w:r>
      <w:r>
        <w:rPr>
          <w:rFonts w:ascii="Arial" w:cs="Arial" w:eastAsia="Arial" w:hAnsi="Arial"/>
          <w:sz w:val="18"/>
          <w:szCs w:val="18"/>
          <w:color w:val="auto"/>
        </w:rPr>
        <w:t>quarter 2017.</w:t>
      </w:r>
    </w:p>
    <w:p>
      <w:pPr>
        <w:spacing w:after="0" w:line="162" w:lineRule="exact"/>
        <w:rPr>
          <w:sz w:val="20"/>
          <w:szCs w:val="20"/>
          <w:color w:val="auto"/>
        </w:rPr>
      </w:pPr>
    </w:p>
    <w:p>
      <w:pPr>
        <w:ind w:right="340"/>
        <w:spacing w:after="0" w:line="313" w:lineRule="auto"/>
        <w:rPr>
          <w:sz w:val="20"/>
          <w:szCs w:val="20"/>
          <w:color w:val="auto"/>
        </w:rPr>
      </w:pPr>
      <w:r>
        <w:rPr>
          <w:rFonts w:ascii="Arial" w:cs="Arial" w:eastAsia="Arial" w:hAnsi="Arial"/>
          <w:sz w:val="17"/>
          <w:szCs w:val="17"/>
          <w:b w:val="1"/>
          <w:bCs w:val="1"/>
          <w:color w:val="auto"/>
        </w:rPr>
        <w:t xml:space="preserve">Income tax expense </w:t>
      </w:r>
      <w:r>
        <w:rPr>
          <w:rFonts w:ascii="Arial" w:cs="Arial" w:eastAsia="Arial" w:hAnsi="Arial"/>
          <w:sz w:val="17"/>
          <w:szCs w:val="17"/>
          <w:color w:val="auto"/>
        </w:rPr>
        <w:t>was $2.5 million in the quarter, compared to $0.7 million in the second quarter 2017. Our effective tax rate was 25.5% in the second</w:t>
      </w:r>
      <w:r>
        <w:rPr>
          <w:rFonts w:ascii="Arial" w:cs="Arial" w:eastAsia="Arial" w:hAnsi="Arial"/>
          <w:sz w:val="17"/>
          <w:szCs w:val="17"/>
          <w:b w:val="1"/>
          <w:bCs w:val="1"/>
          <w:color w:val="auto"/>
        </w:rPr>
        <w:t xml:space="preserve"> </w:t>
      </w:r>
      <w:r>
        <w:rPr>
          <w:rFonts w:ascii="Arial" w:cs="Arial" w:eastAsia="Arial" w:hAnsi="Arial"/>
          <w:sz w:val="17"/>
          <w:szCs w:val="17"/>
          <w:color w:val="auto"/>
        </w:rPr>
        <w:t>quarter 2018, due to non-taxable losses from associates and joint ventures, and the recognized equity cost of our RSU program.</w:t>
      </w:r>
    </w:p>
    <w:p>
      <w:pPr>
        <w:spacing w:after="0" w:line="138"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 xml:space="preserve">Net income </w:t>
      </w:r>
      <w:r>
        <w:rPr>
          <w:rFonts w:ascii="Arial" w:cs="Arial" w:eastAsia="Arial" w:hAnsi="Arial"/>
          <w:sz w:val="18"/>
          <w:szCs w:val="18"/>
          <w:color w:val="auto"/>
        </w:rPr>
        <w:t>was $7.4 million in the quarter, representing a net margin of 18.6%, compared to a net loss of $2.6 million in the second quarter of 2017, which</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represented a negative 9.6% margin.</w:t>
      </w:r>
    </w:p>
    <w:p>
      <w:pPr>
        <w:spacing w:after="0" w:line="162" w:lineRule="exact"/>
        <w:rPr>
          <w:sz w:val="20"/>
          <w:szCs w:val="20"/>
          <w:color w:val="auto"/>
        </w:rPr>
      </w:pPr>
    </w:p>
    <w:p>
      <w:pPr>
        <w:ind w:right="160"/>
        <w:spacing w:after="0" w:line="289" w:lineRule="auto"/>
        <w:rPr>
          <w:sz w:val="20"/>
          <w:szCs w:val="20"/>
          <w:color w:val="auto"/>
        </w:rPr>
      </w:pPr>
      <w:r>
        <w:rPr>
          <w:rFonts w:ascii="Arial" w:cs="Arial" w:eastAsia="Arial" w:hAnsi="Arial"/>
          <w:sz w:val="17"/>
          <w:szCs w:val="17"/>
          <w:b w:val="1"/>
          <w:bCs w:val="1"/>
          <w:color w:val="auto"/>
        </w:rPr>
        <w:t xml:space="preserve">Adjusted EBITDA </w:t>
      </w:r>
      <w:r>
        <w:rPr>
          <w:rFonts w:ascii="Arial" w:cs="Arial" w:eastAsia="Arial" w:hAnsi="Arial"/>
          <w:sz w:val="17"/>
          <w:szCs w:val="17"/>
          <w:color w:val="auto"/>
        </w:rPr>
        <w:t>was $16.2 million in the second quarter 2018, representing a 40.6% adjusted EBITDA margin and a 280.5% increase year-over-year. In</w:t>
      </w:r>
      <w:r>
        <w:rPr>
          <w:rFonts w:ascii="Arial" w:cs="Arial" w:eastAsia="Arial" w:hAnsi="Arial"/>
          <w:sz w:val="17"/>
          <w:szCs w:val="17"/>
          <w:b w:val="1"/>
          <w:bCs w:val="1"/>
          <w:color w:val="auto"/>
        </w:rPr>
        <w:t xml:space="preserve"> </w:t>
      </w:r>
      <w:r>
        <w:rPr>
          <w:rFonts w:ascii="Arial" w:cs="Arial" w:eastAsia="Arial" w:hAnsi="Arial"/>
          <w:sz w:val="17"/>
          <w:szCs w:val="17"/>
          <w:color w:val="auto"/>
        </w:rPr>
        <w:t>the second quarter of 2017, adjusted EBITDA was $4.3 million, representing a 16.0% margin. Adjusted EBITDA excludes share-based remuneration, restructuring charges, and as of the second quarter 2018, expensed IPO-related costs for audit, legal and other advisory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403860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7" w:name="page8"/>
    <w:bookmarkEnd w:id="7"/>
    <w:p>
      <w:pPr>
        <w:ind w:right="260"/>
        <w:spacing w:after="0" w:line="281" w:lineRule="auto"/>
        <w:rPr>
          <w:sz w:val="20"/>
          <w:szCs w:val="20"/>
          <w:color w:val="auto"/>
        </w:rPr>
      </w:pPr>
      <w:r>
        <w:rPr>
          <w:rFonts w:ascii="Arial" w:cs="Arial" w:eastAsia="Arial" w:hAnsi="Arial"/>
          <w:sz w:val="17"/>
          <w:szCs w:val="17"/>
          <w:b w:val="1"/>
          <w:bCs w:val="1"/>
          <w:color w:val="auto"/>
        </w:rPr>
        <w:t xml:space="preserve">Adjusted net income </w:t>
      </w:r>
      <w:r>
        <w:rPr>
          <w:rFonts w:ascii="Arial" w:cs="Arial" w:eastAsia="Arial" w:hAnsi="Arial"/>
          <w:sz w:val="17"/>
          <w:szCs w:val="17"/>
          <w:color w:val="auto"/>
        </w:rPr>
        <w:t>was $10.8 million in the second quarter 2018, representing a 27.1% adjusted net margin. In the second quarter of 2017, adjusted net</w:t>
      </w:r>
      <w:r>
        <w:rPr>
          <w:rFonts w:ascii="Arial" w:cs="Arial" w:eastAsia="Arial" w:hAnsi="Arial"/>
          <w:sz w:val="17"/>
          <w:szCs w:val="17"/>
          <w:b w:val="1"/>
          <w:bCs w:val="1"/>
          <w:color w:val="auto"/>
        </w:rPr>
        <w:t xml:space="preserve"> </w:t>
      </w:r>
      <w:r>
        <w:rPr>
          <w:rFonts w:ascii="Arial" w:cs="Arial" w:eastAsia="Arial" w:hAnsi="Arial"/>
          <w:sz w:val="17"/>
          <w:szCs w:val="17"/>
          <w:color w:val="auto"/>
        </w:rPr>
        <w:t>income was $1.1 million, representing a 4.0% margin. Adjusted net income excludes share-based remuneration, amortization of intangible assets related to acquisitions (all of which relate to the Opera privatization in 2016), and as of the second quarter 2018, expensed IPO related costs. Adjusted net income further includes reversals of the income tax benefits related to the foregoing three adjustments.</w:t>
      </w:r>
    </w:p>
    <w:p>
      <w:pPr>
        <w:spacing w:after="0" w:line="165"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b w:val="1"/>
          <w:bCs w:val="1"/>
          <w:color w:val="auto"/>
        </w:rPr>
        <w:t xml:space="preserve">Net income per ADS </w:t>
      </w:r>
      <w:r>
        <w:rPr>
          <w:rFonts w:ascii="Arial" w:cs="Arial" w:eastAsia="Arial" w:hAnsi="Arial"/>
          <w:sz w:val="18"/>
          <w:szCs w:val="18"/>
          <w:color w:val="auto"/>
        </w:rPr>
        <w:t>was $0.078 in the quarter, and $0.075 on a diluted basis.</w:t>
      </w:r>
      <w:r>
        <w:rPr>
          <w:rFonts w:ascii="Arial" w:cs="Arial" w:eastAsia="Arial" w:hAnsi="Arial"/>
          <w:sz w:val="18"/>
          <w:szCs w:val="18"/>
          <w:b w:val="1"/>
          <w:bCs w:val="1"/>
          <w:color w:val="auto"/>
        </w:rPr>
        <w:t xml:space="preserve"> Adjusted net income per ADS </w:t>
      </w:r>
      <w:r>
        <w:rPr>
          <w:rFonts w:ascii="Arial" w:cs="Arial" w:eastAsia="Arial" w:hAnsi="Arial"/>
          <w:sz w:val="18"/>
          <w:szCs w:val="18"/>
          <w:color w:val="auto"/>
        </w:rPr>
        <w:t>was $0.113 in the quarter, and $0.110 on a</w:t>
      </w:r>
      <w:r>
        <w:rPr>
          <w:rFonts w:ascii="Arial" w:cs="Arial" w:eastAsia="Arial" w:hAnsi="Arial"/>
          <w:sz w:val="18"/>
          <w:szCs w:val="18"/>
          <w:b w:val="1"/>
          <w:bCs w:val="1"/>
          <w:color w:val="auto"/>
        </w:rPr>
        <w:t xml:space="preserve"> </w:t>
      </w:r>
      <w:r>
        <w:rPr>
          <w:rFonts w:ascii="Arial" w:cs="Arial" w:eastAsia="Arial" w:hAnsi="Arial"/>
          <w:sz w:val="18"/>
          <w:szCs w:val="18"/>
          <w:color w:val="auto"/>
        </w:rPr>
        <w:t>diluted basis. Each ADS represents two shares in Opera Limited.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Business outlook</w:t>
      </w:r>
    </w:p>
    <w:p>
      <w:pPr>
        <w:spacing w:after="0" w:line="22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Opera expects that 2018 full-year revenue will amount to $170-175 million, representing a growth of 32-36% versus full-year 2017. This translates to a total expected revenue of $91-96 million for the second half of 2018, with both sequential and year-over-year revenue growth in each of the third and fourth quarters likely to be driven by the search and advertising revenue categories.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non-IFRS financial measures</w:t>
      </w:r>
    </w:p>
    <w:p>
      <w:pPr>
        <w:spacing w:after="0" w:line="229"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To supplement our consolidated financial statements, which are prepared and presented in accordance with IFRS, we use adjusted EBITDA and adjusted net income, both non-IFRS financial measures, to understand and evaluate our core operating performance. These non-IFRS financial measures, which may differ from similarly titled measures used by other companies, are presented to enhance investors’ overall understanding of our financial performance and should not be considered a substitute for, or superior to, the financial information prepared and presented in accordance with IFRS.</w:t>
      </w:r>
    </w:p>
    <w:p>
      <w:pPr>
        <w:spacing w:after="0" w:line="154"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We define adjusted EBITDA as net income (loss) excluding income tax expense (benefit), total net financial loss (income), share of net loss (income) of associates and joint ventures, restructuring costs, depreciation and amortization, share-based remuneration and expensed costs related to our recent initial public offering, less other income.</w:t>
      </w:r>
    </w:p>
    <w:p>
      <w:pPr>
        <w:spacing w:after="0" w:line="18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define adjusted net income as net income excluding share-based remuneration, amortization cost related to acquired intangible assets, and expensed costs related to our recent initial public offering.</w:t>
      </w:r>
    </w:p>
    <w:p>
      <w:pPr>
        <w:spacing w:after="0" w:line="170"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We believe that adjusted EBITDA and adjusted net income provide useful information to investors and others in understanding and evaluating our operating results. These non-IFRS financial measures adjust for the impact of items that we do not consider indicative of the operational performance of our business. While we believe that these non-IFRS financial measures are useful in evaluating our business, this information should be considered as supplemental in nature and is not meant as a substitute for the related financial information prepared and presented in accordance with IFRS.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398780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auto"/>
        </w:rPr>
        <w:t>Safe harbor statement</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This press release contains statements of a forward-looking nature. These statements, including statements relating to Opera’s future financial and operating results, are made under the “safe harbor” provisions of the U.S. Private Securities Litigation Reform Act of 1995. You can identify these forward-looking statements by terminology such as “will,” “expects,” “believes,” “anticipates,” “intends,” “estimates” and similar statements. Among other things, management’s quotations and the Business outlook section contain forward-looking statements. These forward-looking statements involve known and unknown risks and uncertainties and are based on current expectations, assumptions, estimates and projections about Opera and the industry. Potential risks and uncertainties include, but are not limited to, those relating to its goals and strategies; its expected development and launch, and market acceptance, of its products and services; its expectations regarding demand for and market acceptance of our brand, platforms and services; our expectations regarding growth in our user base and level of engagement; its ability to attract, retain and monetize users; its ability to continue to develop new technologies and/or upgrade our existing technologies and quarterly variations in its operating results caused by factors beyond its control and global macroeconomic conditions and its potential impact in the markets it has businesses. All information provided in this press release is as of the date hereof, and Opera undertakes no obligation to update any forward-looking statements to reflect subsequent occurring events or circumstances, or changes in its expectations, except as may be required by law. Although Opera believes that the expectations expressed in these forward-looking statements are reasonable, it cannot assure you that its expectations will turn out to be correct, and investors are cautioned that actual results may differ materially from the anticipated results. Further information regarding risks and uncertainties faced by Opera is included in Opera’s filings with the U.S. Securities and Exchange Commission, including its registration statement on Form F-1 filed in connection with its initial public offering.</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Conference call</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Opera’s management team will host a conference call at 7:30 AM U.S. Eastern Time (1:30 PM Central European Time, 7:30 PM Beijing/Hong Kong time) on Friday, August 24,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dial-in details for the live conference call are: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80" w:type="dxa"/>
            <w:vAlign w:val="bottom"/>
          </w:tcPr>
          <w:p>
            <w:pPr>
              <w:spacing w:after="0"/>
              <w:rPr>
                <w:sz w:val="20"/>
                <w:szCs w:val="20"/>
                <w:color w:val="auto"/>
              </w:rPr>
            </w:pPr>
            <w:r>
              <w:rPr>
                <w:rFonts w:ascii="Arial" w:cs="Arial" w:eastAsia="Arial" w:hAnsi="Arial"/>
                <w:sz w:val="18"/>
                <w:szCs w:val="18"/>
                <w:color w:val="auto"/>
              </w:rPr>
              <w:t>China:</w:t>
            </w:r>
          </w:p>
        </w:tc>
        <w:tc>
          <w:tcPr>
            <w:tcW w:w="1660" w:type="dxa"/>
            <w:vAlign w:val="bottom"/>
            <w:gridSpan w:val="2"/>
          </w:tcPr>
          <w:p>
            <w:pPr>
              <w:ind w:left="140"/>
              <w:spacing w:after="0"/>
              <w:rPr>
                <w:sz w:val="20"/>
                <w:szCs w:val="20"/>
                <w:color w:val="auto"/>
              </w:rPr>
            </w:pPr>
            <w:r>
              <w:rPr>
                <w:rFonts w:ascii="Arial" w:cs="Arial" w:eastAsia="Arial" w:hAnsi="Arial"/>
                <w:sz w:val="18"/>
                <w:szCs w:val="18"/>
                <w:color w:val="auto"/>
              </w:rPr>
              <w:t>400 120 8590</w:t>
            </w:r>
          </w:p>
        </w:tc>
      </w:tr>
      <w:tr>
        <w:trPr>
          <w:trHeight w:val="216"/>
        </w:trPr>
        <w:tc>
          <w:tcPr>
            <w:tcW w:w="1580" w:type="dxa"/>
            <w:vAlign w:val="bottom"/>
          </w:tcPr>
          <w:p>
            <w:pPr>
              <w:spacing w:after="0"/>
              <w:rPr>
                <w:sz w:val="20"/>
                <w:szCs w:val="20"/>
                <w:color w:val="auto"/>
              </w:rPr>
            </w:pPr>
            <w:r>
              <w:rPr>
                <w:rFonts w:ascii="Arial" w:cs="Arial" w:eastAsia="Arial" w:hAnsi="Arial"/>
                <w:sz w:val="18"/>
                <w:szCs w:val="18"/>
                <w:color w:val="auto"/>
              </w:rPr>
              <w:t>Hong Kong:</w:t>
            </w:r>
          </w:p>
        </w:tc>
        <w:tc>
          <w:tcPr>
            <w:tcW w:w="1660" w:type="dxa"/>
            <w:vAlign w:val="bottom"/>
            <w:gridSpan w:val="2"/>
          </w:tcPr>
          <w:p>
            <w:pPr>
              <w:ind w:left="140"/>
              <w:spacing w:after="0"/>
              <w:rPr>
                <w:sz w:val="20"/>
                <w:szCs w:val="20"/>
                <w:color w:val="auto"/>
              </w:rPr>
            </w:pPr>
            <w:r>
              <w:rPr>
                <w:rFonts w:ascii="Arial" w:cs="Arial" w:eastAsia="Arial" w:hAnsi="Arial"/>
                <w:sz w:val="18"/>
                <w:szCs w:val="18"/>
                <w:color w:val="auto"/>
              </w:rPr>
              <w:t>+852 3018 4588</w:t>
            </w:r>
          </w:p>
        </w:tc>
      </w:tr>
      <w:tr>
        <w:trPr>
          <w:trHeight w:val="216"/>
        </w:trPr>
        <w:tc>
          <w:tcPr>
            <w:tcW w:w="1580" w:type="dxa"/>
            <w:vAlign w:val="bottom"/>
          </w:tcPr>
          <w:p>
            <w:pPr>
              <w:spacing w:after="0"/>
              <w:rPr>
                <w:sz w:val="20"/>
                <w:szCs w:val="20"/>
                <w:color w:val="auto"/>
              </w:rPr>
            </w:pPr>
            <w:r>
              <w:rPr>
                <w:rFonts w:ascii="Arial" w:cs="Arial" w:eastAsia="Arial" w:hAnsi="Arial"/>
                <w:sz w:val="18"/>
                <w:szCs w:val="18"/>
                <w:color w:val="auto"/>
              </w:rPr>
              <w:t>Norway:</w:t>
            </w:r>
          </w:p>
        </w:tc>
        <w:tc>
          <w:tcPr>
            <w:tcW w:w="440" w:type="dxa"/>
            <w:vAlign w:val="bottom"/>
          </w:tcPr>
          <w:p>
            <w:pPr>
              <w:ind w:left="140"/>
              <w:spacing w:after="0"/>
              <w:rPr>
                <w:sz w:val="20"/>
                <w:szCs w:val="20"/>
                <w:color w:val="auto"/>
              </w:rPr>
            </w:pPr>
            <w:r>
              <w:rPr>
                <w:rFonts w:ascii="Arial" w:cs="Arial" w:eastAsia="Arial" w:hAnsi="Arial"/>
                <w:sz w:val="18"/>
                <w:szCs w:val="18"/>
                <w:color w:val="auto"/>
                <w:w w:val="91"/>
              </w:rPr>
              <w:t>+47</w:t>
            </w:r>
          </w:p>
        </w:tc>
        <w:tc>
          <w:tcPr>
            <w:tcW w:w="1220" w:type="dxa"/>
            <w:vAlign w:val="bottom"/>
          </w:tcPr>
          <w:p>
            <w:pPr>
              <w:ind w:left="20"/>
              <w:spacing w:after="0"/>
              <w:rPr>
                <w:sz w:val="20"/>
                <w:szCs w:val="20"/>
                <w:color w:val="auto"/>
              </w:rPr>
            </w:pPr>
            <w:r>
              <w:rPr>
                <w:rFonts w:ascii="Arial" w:cs="Arial" w:eastAsia="Arial" w:hAnsi="Arial"/>
                <w:sz w:val="18"/>
                <w:szCs w:val="18"/>
                <w:color w:val="auto"/>
              </w:rPr>
              <w:t>2350 0296</w:t>
            </w:r>
          </w:p>
        </w:tc>
      </w:tr>
      <w:tr>
        <w:trPr>
          <w:trHeight w:val="216"/>
        </w:trPr>
        <w:tc>
          <w:tcPr>
            <w:tcW w:w="1580" w:type="dxa"/>
            <w:vAlign w:val="bottom"/>
          </w:tcPr>
          <w:p>
            <w:pPr>
              <w:spacing w:after="0"/>
              <w:rPr>
                <w:sz w:val="20"/>
                <w:szCs w:val="20"/>
                <w:color w:val="auto"/>
              </w:rPr>
            </w:pPr>
            <w:r>
              <w:rPr>
                <w:rFonts w:ascii="Arial" w:cs="Arial" w:eastAsia="Arial" w:hAnsi="Arial"/>
                <w:sz w:val="18"/>
                <w:szCs w:val="18"/>
                <w:color w:val="auto"/>
              </w:rPr>
              <w:t>UK:</w:t>
            </w:r>
          </w:p>
        </w:tc>
        <w:tc>
          <w:tcPr>
            <w:tcW w:w="440" w:type="dxa"/>
            <w:vAlign w:val="bottom"/>
          </w:tcPr>
          <w:p>
            <w:pPr>
              <w:ind w:left="140"/>
              <w:spacing w:after="0"/>
              <w:rPr>
                <w:sz w:val="20"/>
                <w:szCs w:val="20"/>
                <w:color w:val="auto"/>
              </w:rPr>
            </w:pPr>
            <w:r>
              <w:rPr>
                <w:rFonts w:ascii="Arial" w:cs="Arial" w:eastAsia="Arial" w:hAnsi="Arial"/>
                <w:sz w:val="18"/>
                <w:szCs w:val="18"/>
                <w:color w:val="auto"/>
                <w:w w:val="91"/>
              </w:rPr>
              <w:t>+44</w:t>
            </w:r>
          </w:p>
        </w:tc>
        <w:tc>
          <w:tcPr>
            <w:tcW w:w="1220" w:type="dxa"/>
            <w:vAlign w:val="bottom"/>
          </w:tcPr>
          <w:p>
            <w:pPr>
              <w:ind w:left="20"/>
              <w:spacing w:after="0"/>
              <w:rPr>
                <w:sz w:val="20"/>
                <w:szCs w:val="20"/>
                <w:color w:val="auto"/>
              </w:rPr>
            </w:pPr>
            <w:r>
              <w:rPr>
                <w:rFonts w:ascii="Arial" w:cs="Arial" w:eastAsia="Arial" w:hAnsi="Arial"/>
                <w:sz w:val="18"/>
                <w:szCs w:val="18"/>
                <w:color w:val="auto"/>
                <w:w w:val="89"/>
              </w:rPr>
              <w:t>(0)330 336 9411</w:t>
            </w:r>
          </w:p>
        </w:tc>
      </w:tr>
      <w:tr>
        <w:trPr>
          <w:trHeight w:val="230"/>
        </w:trPr>
        <w:tc>
          <w:tcPr>
            <w:tcW w:w="1580" w:type="dxa"/>
            <w:vAlign w:val="bottom"/>
          </w:tcPr>
          <w:p>
            <w:pPr>
              <w:spacing w:after="0"/>
              <w:rPr>
                <w:sz w:val="20"/>
                <w:szCs w:val="20"/>
                <w:color w:val="auto"/>
              </w:rPr>
            </w:pPr>
            <w:r>
              <w:rPr>
                <w:rFonts w:ascii="Arial" w:cs="Arial" w:eastAsia="Arial" w:hAnsi="Arial"/>
                <w:sz w:val="18"/>
                <w:szCs w:val="18"/>
                <w:color w:val="auto"/>
              </w:rPr>
              <w:t>USA:</w:t>
            </w:r>
          </w:p>
        </w:tc>
        <w:tc>
          <w:tcPr>
            <w:tcW w:w="1660" w:type="dxa"/>
            <w:vAlign w:val="bottom"/>
            <w:gridSpan w:val="2"/>
          </w:tcPr>
          <w:p>
            <w:pPr>
              <w:ind w:left="140"/>
              <w:spacing w:after="0"/>
              <w:rPr>
                <w:sz w:val="20"/>
                <w:szCs w:val="20"/>
                <w:color w:val="auto"/>
              </w:rPr>
            </w:pPr>
            <w:r>
              <w:rPr>
                <w:rFonts w:ascii="Arial" w:cs="Arial" w:eastAsia="Arial" w:hAnsi="Arial"/>
                <w:sz w:val="18"/>
                <w:szCs w:val="18"/>
                <w:color w:val="auto"/>
              </w:rPr>
              <w:t>+1 929-477-0448</w:t>
            </w:r>
          </w:p>
        </w:tc>
      </w:tr>
      <w:tr>
        <w:trPr>
          <w:trHeight w:val="432"/>
        </w:trPr>
        <w:tc>
          <w:tcPr>
            <w:tcW w:w="1580" w:type="dxa"/>
            <w:vAlign w:val="bottom"/>
          </w:tcPr>
          <w:p>
            <w:pPr>
              <w:spacing w:after="0"/>
              <w:rPr>
                <w:sz w:val="20"/>
                <w:szCs w:val="20"/>
                <w:color w:val="auto"/>
              </w:rPr>
            </w:pPr>
            <w:r>
              <w:rPr>
                <w:rFonts w:ascii="Arial" w:cs="Arial" w:eastAsia="Arial" w:hAnsi="Arial"/>
                <w:sz w:val="18"/>
                <w:szCs w:val="18"/>
                <w:color w:val="auto"/>
              </w:rPr>
              <w:t>Confirmation Code:</w:t>
            </w:r>
          </w:p>
        </w:tc>
        <w:tc>
          <w:tcPr>
            <w:tcW w:w="1660" w:type="dxa"/>
            <w:vAlign w:val="bottom"/>
            <w:gridSpan w:val="2"/>
          </w:tcPr>
          <w:p>
            <w:pPr>
              <w:ind w:left="140"/>
              <w:spacing w:after="0"/>
              <w:rPr>
                <w:sz w:val="20"/>
                <w:szCs w:val="20"/>
                <w:color w:val="auto"/>
              </w:rPr>
            </w:pPr>
            <w:r>
              <w:rPr>
                <w:rFonts w:ascii="Arial" w:cs="Arial" w:eastAsia="Arial" w:hAnsi="Arial"/>
                <w:sz w:val="18"/>
                <w:szCs w:val="18"/>
                <w:color w:val="auto"/>
              </w:rPr>
              <w:t>2382884</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recorded conference call will be available on the Investor Relations section of Opera’s website at https://investor.opera.com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Opera</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Founded in 1995 in Norway, Opera is one of the world’s leading browser providers and an influential player in the field of integrated AI-driven digital content discovery and recommendation platforms.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For investor inquiries, please contact investor-relations@opera.com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media inquiries, please contact: press-team@opera.com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OPERA LIMITED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CONDENSED CONSOLIDATED STATEMENTS OF OPERATIONS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15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Q2-2017</w:t>
            </w:r>
          </w:p>
        </w:tc>
        <w:tc>
          <w:tcPr>
            <w:tcW w:w="15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Q2-2018</w:t>
            </w:r>
          </w:p>
        </w:tc>
        <w:tc>
          <w:tcPr>
            <w:tcW w:w="14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YTD 2017</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YTD 2018</w:t>
            </w:r>
          </w:p>
        </w:tc>
        <w:tc>
          <w:tcPr>
            <w:tcW w:w="0" w:type="dxa"/>
            <w:vAlign w:val="bottom"/>
          </w:tcPr>
          <w:p>
            <w:pPr>
              <w:spacing w:after="0"/>
              <w:rPr>
                <w:sz w:val="1"/>
                <w:szCs w:val="1"/>
                <w:color w:val="auto"/>
              </w:rPr>
            </w:pPr>
          </w:p>
        </w:tc>
      </w:tr>
      <w:tr>
        <w:trPr>
          <w:trHeight w:val="234"/>
        </w:trPr>
        <w:tc>
          <w:tcPr>
            <w:tcW w:w="5620" w:type="dxa"/>
            <w:vAlign w:val="bottom"/>
            <w:gridSpan w:val="3"/>
          </w:tcPr>
          <w:p>
            <w:pPr>
              <w:spacing w:after="0"/>
              <w:rPr>
                <w:sz w:val="20"/>
                <w:szCs w:val="20"/>
                <w:color w:val="auto"/>
              </w:rPr>
            </w:pPr>
            <w:r>
              <w:rPr>
                <w:rFonts w:ascii="Arial" w:cs="Arial" w:eastAsia="Arial" w:hAnsi="Arial"/>
                <w:sz w:val="18"/>
                <w:szCs w:val="18"/>
                <w:b w:val="1"/>
                <w:bCs w:val="1"/>
                <w:color w:val="auto"/>
              </w:rPr>
              <w:t>[Numbers in US$ thousands, except per share amounts]</w:t>
            </w:r>
          </w:p>
        </w:tc>
        <w:tc>
          <w:tcPr>
            <w:tcW w:w="15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(Unaudited)</w:t>
            </w:r>
          </w:p>
        </w:tc>
        <w:tc>
          <w:tcPr>
            <w:tcW w:w="15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(Unaudited)</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(Unaudited)</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(Unaudited)</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8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282525"/>
              </w:rPr>
              <w:t>Operating revenue and other income</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282525"/>
              </w:rPr>
              <w:t>Operating revenue</w:t>
            </w: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26,491</w:t>
            </w: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39,828</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51,966</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79,274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b w:val="1"/>
                <w:bCs w:val="1"/>
                <w:color w:val="282525"/>
              </w:rPr>
              <w:t>Operating expenses</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282525"/>
              </w:rPr>
              <w:t>Payouts to publishers and monetization partners</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w:t>
            </w: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(1,401)</w:t>
            </w: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(212)</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282525"/>
              </w:rPr>
              <w:t>Personnel expenses including share-based remuneration</w:t>
            </w: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(11,145)</w:t>
            </w: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(9,356)</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(19,871)</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(20,466)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282525"/>
              </w:rPr>
              <w:t>Depreciation and amortization</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(3,605)</w:t>
            </w: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(3,379)</w:t>
            </w: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(7,406)</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Other operating expenses</w:t>
            </w: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(13,795)</w:t>
            </w: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(15,224)</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(24,105)</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(29,718)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Restructuring costs</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(2,111)</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282525"/>
              </w:rPr>
              <w:t>Total operating expenses</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(29,022</w:t>
            </w:r>
          </w:p>
        </w:tc>
        <w:tc>
          <w:tcPr>
            <w:tcW w:w="240" w:type="dxa"/>
            <w:vAlign w:val="bottom"/>
            <w:tcBorders>
              <w:bottom w:val="single" w:sz="8" w:color="CCEEFF"/>
            </w:tcBorders>
          </w:tcPr>
          <w:p>
            <w:pPr>
              <w:jc w:val="right"/>
              <w:ind w:right="100"/>
              <w:spacing w:after="0"/>
              <w:rPr>
                <w:sz w:val="20"/>
                <w:szCs w:val="20"/>
                <w:color w:val="auto"/>
              </w:rPr>
            </w:pPr>
            <w:r>
              <w:rPr>
                <w:rFonts w:ascii="Arial" w:cs="Arial" w:eastAsia="Arial" w:hAnsi="Arial"/>
                <w:sz w:val="16"/>
                <w:szCs w:val="16"/>
                <w:b w:val="1"/>
                <w:bCs w:val="1"/>
                <w:color w:val="auto"/>
                <w:w w:val="74"/>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(29,359</w:t>
            </w:r>
          </w:p>
        </w:tc>
        <w:tc>
          <w:tcPr>
            <w:tcW w:w="220" w:type="dxa"/>
            <w:vAlign w:val="bottom"/>
            <w:tcBorders>
              <w:bottom w:val="single" w:sz="8" w:color="CCEEFF"/>
            </w:tcBorders>
          </w:tcPr>
          <w:p>
            <w:pPr>
              <w:jc w:val="right"/>
              <w:ind w:right="80"/>
              <w:spacing w:after="0"/>
              <w:rPr>
                <w:sz w:val="20"/>
                <w:szCs w:val="20"/>
                <w:color w:val="auto"/>
              </w:rPr>
            </w:pPr>
            <w:r>
              <w:rPr>
                <w:rFonts w:ascii="Arial" w:cs="Arial" w:eastAsia="Arial" w:hAnsi="Arial"/>
                <w:sz w:val="16"/>
                <w:szCs w:val="16"/>
                <w:b w:val="1"/>
                <w:bCs w:val="1"/>
                <w:color w:val="auto"/>
                <w:w w:val="74"/>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(53,704</w:t>
            </w:r>
          </w:p>
        </w:tc>
        <w:tc>
          <w:tcPr>
            <w:tcW w:w="200" w:type="dxa"/>
            <w:vAlign w:val="bottom"/>
            <w:tcBorders>
              <w:bottom w:val="single" w:sz="8" w:color="CCEEFF"/>
            </w:tcBorders>
          </w:tcPr>
          <w:p>
            <w:pPr>
              <w:jc w:val="right"/>
              <w:ind w:right="60"/>
              <w:spacing w:after="0"/>
              <w:rPr>
                <w:sz w:val="20"/>
                <w:szCs w:val="20"/>
                <w:color w:val="auto"/>
              </w:rPr>
            </w:pPr>
            <w:r>
              <w:rPr>
                <w:rFonts w:ascii="Arial" w:cs="Arial" w:eastAsia="Arial" w:hAnsi="Arial"/>
                <w:sz w:val="16"/>
                <w:szCs w:val="16"/>
                <w:b w:val="1"/>
                <w:bCs w:val="1"/>
                <w:color w:val="auto"/>
                <w:w w:val="74"/>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(59,029</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282525"/>
              </w:rPr>
              <w:t>Operating profit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(2,531</w:t>
            </w:r>
          </w:p>
        </w:tc>
        <w:tc>
          <w:tcPr>
            <w:tcW w:w="240" w:type="dxa"/>
            <w:vAlign w:val="bottom"/>
            <w:tcBorders>
              <w:bottom w:val="single" w:sz="8" w:color="CCEEFF"/>
            </w:tcBorders>
          </w:tcPr>
          <w:p>
            <w:pPr>
              <w:jc w:val="right"/>
              <w:ind w:right="100"/>
              <w:spacing w:after="0"/>
              <w:rPr>
                <w:sz w:val="20"/>
                <w:szCs w:val="20"/>
                <w:color w:val="auto"/>
              </w:rPr>
            </w:pPr>
            <w:r>
              <w:rPr>
                <w:rFonts w:ascii="Arial" w:cs="Arial" w:eastAsia="Arial" w:hAnsi="Arial"/>
                <w:sz w:val="16"/>
                <w:szCs w:val="16"/>
                <w:b w:val="1"/>
                <w:bCs w:val="1"/>
                <w:color w:val="auto"/>
                <w:w w:val="74"/>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10,469</w:t>
            </w:r>
          </w:p>
        </w:tc>
        <w:tc>
          <w:tcPr>
            <w:tcW w:w="22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(1,738</w:t>
            </w:r>
          </w:p>
        </w:tc>
        <w:tc>
          <w:tcPr>
            <w:tcW w:w="200" w:type="dxa"/>
            <w:vAlign w:val="bottom"/>
            <w:tcBorders>
              <w:bottom w:val="single" w:sz="8" w:color="CCEEFF"/>
            </w:tcBorders>
          </w:tcPr>
          <w:p>
            <w:pPr>
              <w:jc w:val="right"/>
              <w:ind w:right="60"/>
              <w:spacing w:after="0"/>
              <w:rPr>
                <w:sz w:val="20"/>
                <w:szCs w:val="20"/>
                <w:color w:val="auto"/>
              </w:rPr>
            </w:pPr>
            <w:r>
              <w:rPr>
                <w:rFonts w:ascii="Arial" w:cs="Arial" w:eastAsia="Arial" w:hAnsi="Arial"/>
                <w:sz w:val="16"/>
                <w:szCs w:val="16"/>
                <w:b w:val="1"/>
                <w:bCs w:val="1"/>
                <w:color w:val="auto"/>
                <w:w w:val="74"/>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20,245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282525"/>
              </w:rPr>
              <w:t>Income (loss) from associates and joint ventures</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282525"/>
              </w:rPr>
              <w:t>Share of net income (loss) of associates and joint ventures</w:t>
            </w: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(218)</w:t>
            </w: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(615)</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(573)</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(1,624)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282525"/>
              </w:rPr>
              <w:t>Net financial income (expenses)</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282525"/>
              </w:rPr>
              <w:t>Financial income</w:t>
            </w: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102</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22</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282525"/>
              </w:rPr>
              <w:t>Financial expense</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w:t>
            </w: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w:t>
            </w: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(203)</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282525"/>
              </w:rPr>
              <w:t>Net foreign exchange gains (losses)</w:t>
            </w:r>
          </w:p>
        </w:tc>
        <w:tc>
          <w:tcPr>
            <w:tcW w:w="1260" w:type="dxa"/>
            <w:vAlign w:val="bottom"/>
          </w:tcPr>
          <w:p>
            <w:pPr>
              <w:jc w:val="right"/>
              <w:spacing w:after="0"/>
              <w:rPr>
                <w:sz w:val="20"/>
                <w:szCs w:val="20"/>
                <w:color w:val="auto"/>
              </w:rPr>
            </w:pPr>
            <w:r>
              <w:rPr>
                <w:rFonts w:ascii="Arial" w:cs="Arial" w:eastAsia="Arial" w:hAnsi="Arial"/>
                <w:sz w:val="18"/>
                <w:szCs w:val="18"/>
                <w:color w:val="auto"/>
              </w:rPr>
              <w:t>1,026</w:t>
            </w:r>
          </w:p>
        </w:tc>
        <w:tc>
          <w:tcPr>
            <w:tcW w:w="240" w:type="dxa"/>
            <w:vAlign w:val="bottom"/>
          </w:tcPr>
          <w:p>
            <w:pPr>
              <w:spacing w:after="0"/>
              <w:rPr>
                <w:sz w:val="19"/>
                <w:szCs w:val="19"/>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31</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711</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282525"/>
              </w:rPr>
              <w:t>Total net financial income (loss)</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895</w:t>
            </w:r>
          </w:p>
        </w:tc>
        <w:tc>
          <w:tcPr>
            <w:tcW w:w="24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91</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531</w:t>
            </w:r>
          </w:p>
        </w:tc>
        <w:tc>
          <w:tcPr>
            <w:tcW w:w="2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40" w:type="dxa"/>
            <w:vAlign w:val="bottom"/>
            <w:tcBorders>
              <w:bottom w:val="single" w:sz="8" w:color="CCEEFF"/>
            </w:tcBorders>
          </w:tcPr>
          <w:p>
            <w:pPr>
              <w:spacing w:after="0"/>
              <w:rPr>
                <w:sz w:val="18"/>
                <w:szCs w:val="18"/>
                <w:color w:val="auto"/>
              </w:rPr>
            </w:pPr>
          </w:p>
        </w:tc>
        <w:tc>
          <w:tcPr>
            <w:tcW w:w="276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282525"/>
              </w:rPr>
              <w:t>Net income (loss) before income taxes</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(1,853</w:t>
            </w: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6"/>
                <w:szCs w:val="16"/>
                <w:b w:val="1"/>
                <w:bCs w:val="1"/>
                <w:color w:val="auto"/>
                <w:w w:val="74"/>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9,945</w:t>
            </w:r>
          </w:p>
        </w:tc>
        <w:tc>
          <w:tcPr>
            <w:tcW w:w="22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(1,781</w:t>
            </w: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6"/>
                <w:szCs w:val="16"/>
                <w:b w:val="1"/>
                <w:bCs w:val="1"/>
                <w:color w:val="auto"/>
                <w:w w:val="7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18,854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282525"/>
              </w:rPr>
              <w:t>Income tax (expense) benefit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(697</w:t>
            </w:r>
          </w:p>
        </w:tc>
        <w:tc>
          <w:tcPr>
            <w:tcW w:w="240" w:type="dxa"/>
            <w:vAlign w:val="bottom"/>
            <w:tcBorders>
              <w:bottom w:val="single" w:sz="8" w:color="CCEEFF"/>
            </w:tcBorders>
          </w:tcPr>
          <w:p>
            <w:pPr>
              <w:jc w:val="right"/>
              <w:ind w:right="100"/>
              <w:spacing w:after="0"/>
              <w:rPr>
                <w:sz w:val="20"/>
                <w:szCs w:val="20"/>
                <w:color w:val="auto"/>
              </w:rPr>
            </w:pPr>
            <w:r>
              <w:rPr>
                <w:rFonts w:ascii="Arial" w:cs="Arial" w:eastAsia="Arial" w:hAnsi="Arial"/>
                <w:sz w:val="16"/>
                <w:szCs w:val="16"/>
                <w:color w:val="auto"/>
                <w:w w:val="74"/>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(2,535</w:t>
            </w:r>
          </w:p>
        </w:tc>
        <w:tc>
          <w:tcPr>
            <w:tcW w:w="220" w:type="dxa"/>
            <w:vAlign w:val="bottom"/>
            <w:tcBorders>
              <w:bottom w:val="single" w:sz="8" w:color="CCEEFF"/>
            </w:tcBorders>
          </w:tcPr>
          <w:p>
            <w:pPr>
              <w:jc w:val="right"/>
              <w:ind w:right="80"/>
              <w:spacing w:after="0"/>
              <w:rPr>
                <w:sz w:val="20"/>
                <w:szCs w:val="20"/>
                <w:color w:val="auto"/>
              </w:rPr>
            </w:pPr>
            <w:r>
              <w:rPr>
                <w:rFonts w:ascii="Arial" w:cs="Arial" w:eastAsia="Arial" w:hAnsi="Arial"/>
                <w:sz w:val="16"/>
                <w:szCs w:val="16"/>
                <w:color w:val="auto"/>
                <w:w w:val="74"/>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(938</w:t>
            </w:r>
          </w:p>
        </w:tc>
        <w:tc>
          <w:tcPr>
            <w:tcW w:w="200" w:type="dxa"/>
            <w:vAlign w:val="bottom"/>
            <w:tcBorders>
              <w:bottom w:val="single" w:sz="8" w:color="CCEEFF"/>
            </w:tcBorders>
          </w:tcPr>
          <w:p>
            <w:pPr>
              <w:jc w:val="right"/>
              <w:ind w:right="60"/>
              <w:spacing w:after="0"/>
              <w:rPr>
                <w:sz w:val="20"/>
                <w:szCs w:val="20"/>
                <w:color w:val="auto"/>
              </w:rPr>
            </w:pPr>
            <w:r>
              <w:rPr>
                <w:rFonts w:ascii="Arial" w:cs="Arial" w:eastAsia="Arial" w:hAnsi="Arial"/>
                <w:sz w:val="16"/>
                <w:szCs w:val="16"/>
                <w:color w:val="auto"/>
                <w:w w:val="74"/>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(4,824</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282525"/>
              </w:rPr>
              <w:t>Net income (loss)</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(2,551</w:t>
            </w: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6"/>
                <w:szCs w:val="16"/>
                <w:b w:val="1"/>
                <w:bCs w:val="1"/>
                <w:color w:val="auto"/>
                <w:w w:val="74"/>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7,411</w:t>
            </w:r>
          </w:p>
        </w:tc>
        <w:tc>
          <w:tcPr>
            <w:tcW w:w="22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(2,719</w:t>
            </w: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6"/>
                <w:szCs w:val="16"/>
                <w:b w:val="1"/>
                <w:bCs w:val="1"/>
                <w:color w:val="auto"/>
                <w:w w:val="7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14,030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b w:val="1"/>
                <w:bCs w:val="1"/>
                <w:color w:val="282525"/>
              </w:rPr>
              <w:t>Profit (loss) attributable to:</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282525"/>
              </w:rPr>
              <w:t>Equity holders of the parent</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(2,551)</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7,411</w:t>
            </w: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(2,719)</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14,030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Non-controlling interests</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282525"/>
              </w:rPr>
              <w:t>Total attributed</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(2,551</w:t>
            </w:r>
          </w:p>
        </w:tc>
        <w:tc>
          <w:tcPr>
            <w:tcW w:w="240" w:type="dxa"/>
            <w:vAlign w:val="bottom"/>
            <w:tcBorders>
              <w:top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b w:val="1"/>
                <w:bCs w:val="1"/>
                <w:color w:val="auto"/>
                <w:w w:val="74"/>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7,411</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(2,719</w:t>
            </w:r>
          </w:p>
        </w:tc>
        <w:tc>
          <w:tcPr>
            <w:tcW w:w="200" w:type="dxa"/>
            <w:vAlign w:val="bottom"/>
            <w:tcBorders>
              <w:top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b w:val="1"/>
                <w:bCs w:val="1"/>
                <w:color w:val="auto"/>
                <w:w w:val="74"/>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14,030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8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282525"/>
              </w:rPr>
              <w:t>Weighted average number of ordinary shares outstanding</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600" w:type="dxa"/>
            <w:vAlign w:val="bottom"/>
            <w:gridSpan w:val="2"/>
          </w:tcPr>
          <w:p>
            <w:pPr>
              <w:spacing w:after="0" w:line="256" w:lineRule="exact"/>
              <w:rPr>
                <w:sz w:val="20"/>
                <w:szCs w:val="20"/>
                <w:color w:val="auto"/>
              </w:rPr>
            </w:pPr>
            <w:r>
              <w:rPr>
                <w:rFonts w:ascii="Arial" w:cs="Arial" w:eastAsia="Arial" w:hAnsi="Arial"/>
                <w:sz w:val="18"/>
                <w:szCs w:val="18"/>
                <w:color w:val="282525"/>
              </w:rPr>
              <w:t>Basic, millions</w:t>
            </w:r>
            <w:r>
              <w:rPr>
                <w:rFonts w:ascii="Arial" w:cs="Arial" w:eastAsia="Arial" w:hAnsi="Arial"/>
                <w:sz w:val="29"/>
                <w:szCs w:val="29"/>
                <w:color w:val="282525"/>
                <w:vertAlign w:val="superscript"/>
              </w:rPr>
              <w:t>(1)</w:t>
            </w: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190.25</w:t>
            </w: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190.25</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190.25</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190.25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60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282525"/>
              </w:rPr>
              <w:t>Diluted, millions</w:t>
            </w:r>
            <w:r>
              <w:rPr>
                <w:rFonts w:ascii="Arial" w:cs="Arial" w:eastAsia="Arial" w:hAnsi="Arial"/>
                <w:sz w:val="29"/>
                <w:szCs w:val="29"/>
                <w:color w:val="282525"/>
                <w:vertAlign w:val="superscript"/>
              </w:rPr>
              <w:t>(2)</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190.25</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196.62</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190.25</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195.98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282525"/>
              </w:rPr>
              <w:t>Net income (loss) per ordinary share</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282525"/>
              </w:rPr>
              <w:t>Basic, US$</w:t>
            </w: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(0.013)</w:t>
            </w: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0.039</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(0.014)</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0.074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282525"/>
              </w:rPr>
              <w:t>Diluted, US$</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(0.013)</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0.038</w:t>
            </w: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(0.014)</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0.072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 (loss) per ADS</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Basic, US$</w:t>
            </w: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(0.027)</w:t>
            </w: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0.078</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(0.029)</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0.147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282525"/>
              </w:rPr>
              <w:t>Diluted, US$</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(0.027)</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0.075</w:t>
            </w: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(0.029)</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tcBorders>
              <w:bottom w:val="single" w:sz="8" w:color="auto"/>
            </w:tcBorders>
          </w:tcPr>
          <w:p>
            <w:pPr>
              <w:spacing w:after="0"/>
              <w:rPr>
                <w:sz w:val="18"/>
                <w:szCs w:val="18"/>
                <w:color w:val="auto"/>
              </w:rPr>
            </w:pPr>
          </w:p>
        </w:tc>
        <w:tc>
          <w:tcPr>
            <w:tcW w:w="27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340" w:hanging="332"/>
        <w:spacing w:after="0" w:line="230" w:lineRule="auto"/>
        <w:tabs>
          <w:tab w:leader="none" w:pos="340" w:val="left"/>
        </w:tabs>
        <w:numPr>
          <w:ilvl w:val="0"/>
          <w:numId w:val="6"/>
        </w:numPr>
        <w:rPr>
          <w:rFonts w:ascii="Arial" w:cs="Arial" w:eastAsia="Arial" w:hAnsi="Arial"/>
          <w:sz w:val="12"/>
          <w:szCs w:val="12"/>
          <w:color w:val="auto"/>
        </w:rPr>
      </w:pPr>
      <w:r>
        <w:rPr>
          <w:rFonts w:ascii="Arial" w:cs="Arial" w:eastAsia="Arial" w:hAnsi="Arial"/>
          <w:sz w:val="14"/>
          <w:szCs w:val="14"/>
          <w:color w:val="auto"/>
        </w:rPr>
        <w:t>Assuming 200 million shares in Opera Limited were outstanding for all periods presented, less 9.75 million shares that were surrendered by two shareholders upon completion of the initial public offering.</w:t>
      </w:r>
    </w:p>
    <w:p>
      <w:pPr>
        <w:ind w:left="340" w:hanging="332"/>
        <w:spacing w:after="0"/>
        <w:tabs>
          <w:tab w:leader="none" w:pos="340" w:val="left"/>
        </w:tabs>
        <w:numPr>
          <w:ilvl w:val="0"/>
          <w:numId w:val="6"/>
        </w:numPr>
        <w:rPr>
          <w:rFonts w:ascii="Arial" w:cs="Arial" w:eastAsia="Arial" w:hAnsi="Arial"/>
          <w:sz w:val="12"/>
          <w:szCs w:val="12"/>
          <w:color w:val="auto"/>
        </w:rPr>
      </w:pPr>
      <w:r>
        <w:rPr>
          <w:rFonts w:ascii="Arial" w:cs="Arial" w:eastAsia="Arial" w:hAnsi="Arial"/>
          <w:sz w:val="14"/>
          <w:szCs w:val="14"/>
          <w:color w:val="auto"/>
        </w:rPr>
        <w:t>Includes the net dilutive impact of employee equity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442595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OPERA LIMITED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CONDENSED CONSOLIDATED STATEMENTS OF TOTAL COMPREHENSIVE INCOME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16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Q2-2017</w:t>
            </w:r>
          </w:p>
        </w:tc>
        <w:tc>
          <w:tcPr>
            <w:tcW w:w="162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Q2-2018</w:t>
            </w:r>
          </w:p>
        </w:tc>
        <w:tc>
          <w:tcPr>
            <w:tcW w:w="15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YTD 2017</w:t>
            </w:r>
          </w:p>
        </w:tc>
        <w:tc>
          <w:tcPr>
            <w:tcW w:w="14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YTD 2018</w:t>
            </w:r>
          </w:p>
        </w:tc>
        <w:tc>
          <w:tcPr>
            <w:tcW w:w="0" w:type="dxa"/>
            <w:vAlign w:val="bottom"/>
          </w:tcPr>
          <w:p>
            <w:pPr>
              <w:spacing w:after="0"/>
              <w:rPr>
                <w:sz w:val="1"/>
                <w:szCs w:val="1"/>
                <w:color w:val="auto"/>
              </w:rPr>
            </w:pPr>
          </w:p>
        </w:tc>
      </w:tr>
      <w:tr>
        <w:trPr>
          <w:trHeight w:val="234"/>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[Numbers in US$ thousands]</w:t>
            </w:r>
          </w:p>
        </w:tc>
        <w:tc>
          <w:tcPr>
            <w:tcW w:w="16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(Unaudited)</w:t>
            </w:r>
          </w:p>
        </w:tc>
        <w:tc>
          <w:tcPr>
            <w:tcW w:w="16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(Unaudited)</w:t>
            </w:r>
          </w:p>
        </w:tc>
        <w:tc>
          <w:tcPr>
            <w:tcW w:w="15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(Unaudited)</w:t>
            </w:r>
          </w:p>
        </w:tc>
        <w:tc>
          <w:tcPr>
            <w:tcW w:w="14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(Unaudited)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Borders>
              <w:bottom w:val="single" w:sz="8" w:color="CCEEFF"/>
            </w:tcBorders>
          </w:tcPr>
          <w:p>
            <w:pPr>
              <w:spacing w:after="0"/>
              <w:rPr>
                <w:sz w:val="18"/>
                <w:szCs w:val="18"/>
                <w:color w:val="auto"/>
              </w:rPr>
            </w:pPr>
          </w:p>
        </w:tc>
        <w:tc>
          <w:tcPr>
            <w:tcW w:w="1380" w:type="dxa"/>
            <w:vAlign w:val="bottom"/>
            <w:tcBorders>
              <w:top w:val="single" w:sz="8" w:color="auto"/>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380" w:type="dxa"/>
            <w:vAlign w:val="bottom"/>
            <w:tcBorders>
              <w:top w:val="single" w:sz="8" w:color="auto"/>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340" w:type="dxa"/>
            <w:vAlign w:val="bottom"/>
            <w:tcBorders>
              <w:top w:val="single" w:sz="8" w:color="auto"/>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36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(2,551</w:t>
            </w: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6"/>
                <w:szCs w:val="16"/>
                <w:b w:val="1"/>
                <w:bCs w:val="1"/>
                <w:color w:val="auto"/>
                <w:w w:val="74"/>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7,411</w:t>
            </w:r>
          </w:p>
        </w:tc>
        <w:tc>
          <w:tcPr>
            <w:tcW w:w="240" w:type="dxa"/>
            <w:vAlign w:val="bottom"/>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(2,719</w:t>
            </w: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6"/>
                <w:szCs w:val="16"/>
                <w:b w:val="1"/>
                <w:bCs w:val="1"/>
                <w:color w:val="auto"/>
                <w:w w:val="74"/>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14,030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282525"/>
              </w:rPr>
              <w:t>Other comprehensive income</w:t>
            </w: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282525"/>
              </w:rPr>
              <w:t>Exchange differences on translation of foreign operations</w:t>
            </w: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876</w:t>
            </w: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(1,500)</w:t>
            </w: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1,482</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(1,096)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40" w:type="dxa"/>
            <w:vAlign w:val="bottom"/>
            <w:shd w:val="clear" w:color="auto" w:fill="CCEEFF"/>
          </w:tcPr>
          <w:p>
            <w:pPr>
              <w:spacing w:after="0" w:line="201" w:lineRule="exact"/>
              <w:rPr>
                <w:sz w:val="20"/>
                <w:szCs w:val="20"/>
                <w:color w:val="auto"/>
              </w:rPr>
            </w:pPr>
            <w:r>
              <w:rPr>
                <w:rFonts w:ascii="Arial" w:cs="Arial" w:eastAsia="Arial" w:hAnsi="Arial"/>
                <w:sz w:val="18"/>
                <w:szCs w:val="18"/>
                <w:color w:val="282525"/>
              </w:rPr>
              <w:t>Amounts to be reclassified from other comprehensive income to</w:t>
            </w:r>
          </w:p>
        </w:tc>
        <w:tc>
          <w:tcPr>
            <w:tcW w:w="1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282525"/>
              </w:rPr>
              <w:t>statement of operations</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(138)</w:t>
            </w: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140" w:type="dxa"/>
            <w:vAlign w:val="bottom"/>
          </w:tcPr>
          <w:p>
            <w:pPr>
              <w:spacing w:after="0" w:line="178" w:lineRule="exact"/>
              <w:rPr>
                <w:sz w:val="20"/>
                <w:szCs w:val="20"/>
                <w:color w:val="auto"/>
              </w:rPr>
            </w:pPr>
            <w:r>
              <w:rPr>
                <w:rFonts w:ascii="Arial" w:cs="Arial" w:eastAsia="Arial" w:hAnsi="Arial"/>
                <w:sz w:val="18"/>
                <w:szCs w:val="18"/>
                <w:b w:val="1"/>
                <w:bCs w:val="1"/>
                <w:color w:val="282525"/>
                <w:w w:val="92"/>
              </w:rPr>
              <w:t>Other comprehensive income – items that may be reclassified to</w:t>
            </w:r>
          </w:p>
        </w:tc>
        <w:tc>
          <w:tcPr>
            <w:tcW w:w="138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5160" w:type="dxa"/>
            <w:vAlign w:val="bottom"/>
            <w:gridSpan w:val="2"/>
          </w:tcPr>
          <w:p>
            <w:pPr>
              <w:spacing w:after="0"/>
              <w:rPr>
                <w:sz w:val="20"/>
                <w:szCs w:val="20"/>
                <w:color w:val="auto"/>
              </w:rPr>
            </w:pPr>
            <w:r>
              <w:rPr>
                <w:rFonts w:ascii="Arial" w:cs="Arial" w:eastAsia="Arial" w:hAnsi="Arial"/>
                <w:sz w:val="18"/>
                <w:szCs w:val="18"/>
                <w:b w:val="1"/>
                <w:bCs w:val="1"/>
                <w:color w:val="282525"/>
              </w:rPr>
              <w:t>net income</w:t>
            </w: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876</w:t>
            </w: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(1,638)</w:t>
            </w: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1,482</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(1,234)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comprehensive income</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(1,675</w:t>
            </w:r>
          </w:p>
        </w:tc>
        <w:tc>
          <w:tcPr>
            <w:tcW w:w="240" w:type="dxa"/>
            <w:vAlign w:val="bottom"/>
            <w:tcBorders>
              <w:top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b w:val="1"/>
                <w:bCs w:val="1"/>
                <w:color w:val="auto"/>
                <w:w w:val="74"/>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5,773</w:t>
            </w:r>
          </w:p>
        </w:tc>
        <w:tc>
          <w:tcPr>
            <w:tcW w:w="24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(1,236)</w:t>
            </w:r>
          </w:p>
        </w:tc>
        <w:tc>
          <w:tcPr>
            <w:tcW w:w="2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12,796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b w:val="1"/>
                <w:bCs w:val="1"/>
                <w:color w:val="282525"/>
              </w:rPr>
              <w:t>Total comprehensive income attributable to:</w:t>
            </w: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282525"/>
              </w:rPr>
              <w:t>Equity holders of the parent</w:t>
            </w: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(1,675)</w:t>
            </w:r>
          </w:p>
        </w:tc>
        <w:tc>
          <w:tcPr>
            <w:tcW w:w="1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5,773</w:t>
            </w:r>
          </w:p>
        </w:tc>
        <w:tc>
          <w:tcPr>
            <w:tcW w:w="1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(1,236)</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12,796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282525"/>
              </w:rPr>
              <w:t>Non-controlling interests</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282525"/>
              </w:rPr>
              <w:t>Total attributed</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(1,675</w:t>
            </w:r>
          </w:p>
        </w:tc>
        <w:tc>
          <w:tcPr>
            <w:tcW w:w="240" w:type="dxa"/>
            <w:vAlign w:val="bottom"/>
            <w:tcBorders>
              <w:top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b w:val="1"/>
                <w:bCs w:val="1"/>
                <w:color w:val="auto"/>
                <w:w w:val="74"/>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5,773</w:t>
            </w:r>
          </w:p>
        </w:tc>
        <w:tc>
          <w:tcPr>
            <w:tcW w:w="24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(1,236</w:t>
            </w:r>
          </w:p>
        </w:tc>
        <w:tc>
          <w:tcPr>
            <w:tcW w:w="220" w:type="dxa"/>
            <w:vAlign w:val="bottom"/>
            <w:tcBorders>
              <w:top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b w:val="1"/>
                <w:bCs w:val="1"/>
                <w:color w:val="auto"/>
                <w:w w:val="74"/>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12,796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69"/>
        </w:trPr>
        <w:tc>
          <w:tcPr>
            <w:tcW w:w="20" w:type="dxa"/>
            <w:vAlign w:val="bottom"/>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OPERA LIMITED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CONDENSED CONSOLIDATED STATEMENTS OF FINANCIAL POSITION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0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4"/>
              </w:rPr>
              <w:t>As of</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18"/>
                <w:szCs w:val="18"/>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As of June</w:t>
            </w: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December</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As of June</w:t>
            </w:r>
          </w:p>
        </w:tc>
        <w:tc>
          <w:tcPr>
            <w:tcW w:w="0" w:type="dxa"/>
            <w:vAlign w:val="bottom"/>
          </w:tcPr>
          <w:p>
            <w:pPr>
              <w:spacing w:after="0"/>
              <w:rPr>
                <w:sz w:val="1"/>
                <w:szCs w:val="1"/>
                <w:color w:val="auto"/>
              </w:rPr>
            </w:pPr>
          </w:p>
        </w:tc>
      </w:tr>
      <w:tr>
        <w:trPr>
          <w:trHeight w:val="230"/>
        </w:trPr>
        <w:tc>
          <w:tcPr>
            <w:tcW w:w="71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[Numbers in US$ thousands]</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8"/>
              </w:rPr>
              <w:t>30, 2017</w:t>
            </w:r>
          </w:p>
        </w:tc>
        <w:tc>
          <w:tcPr>
            <w:tcW w:w="26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8"/>
              </w:rPr>
              <w:t>31, 2017</w:t>
            </w:r>
          </w:p>
        </w:tc>
        <w:tc>
          <w:tcPr>
            <w:tcW w:w="20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8"/>
              </w:rPr>
              <w:t>30, 2018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100" w:type="dxa"/>
            <w:vAlign w:val="bottom"/>
            <w:gridSpan w:val="2"/>
            <w:vMerge w:val="continue"/>
          </w:tcPr>
          <w:p>
            <w:pPr>
              <w:spacing w:after="0"/>
              <w:rPr>
                <w:sz w:val="20"/>
                <w:szCs w:val="20"/>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(Unaudited)</w:t>
            </w: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(Unaudited)</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(Unaudited)</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8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260"/>
              <w:spacing w:after="0"/>
              <w:rPr>
                <w:sz w:val="20"/>
                <w:szCs w:val="20"/>
                <w:color w:val="auto"/>
              </w:rPr>
            </w:pPr>
            <w:r>
              <w:rPr>
                <w:rFonts w:ascii="Arial" w:cs="Arial" w:eastAsia="Arial" w:hAnsi="Arial"/>
                <w:sz w:val="18"/>
                <w:szCs w:val="18"/>
                <w:color w:val="282525"/>
              </w:rPr>
              <w:t>Furniture, fixtures and equipment</w:t>
            </w: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13,828</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13,460</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260"/>
              <w:spacing w:after="0"/>
              <w:rPr>
                <w:sz w:val="20"/>
                <w:szCs w:val="20"/>
                <w:color w:val="auto"/>
              </w:rPr>
            </w:pPr>
            <w:r>
              <w:rPr>
                <w:rFonts w:ascii="Arial" w:cs="Arial" w:eastAsia="Arial" w:hAnsi="Arial"/>
                <w:sz w:val="18"/>
                <w:szCs w:val="18"/>
                <w:color w:val="282525"/>
              </w:rPr>
              <w:t>Intangible assets</w:t>
            </w: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123,200</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118,620</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117,161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260"/>
              <w:spacing w:after="0"/>
              <w:rPr>
                <w:sz w:val="20"/>
                <w:szCs w:val="20"/>
                <w:color w:val="auto"/>
              </w:rPr>
            </w:pPr>
            <w:r>
              <w:rPr>
                <w:rFonts w:ascii="Arial" w:cs="Arial" w:eastAsia="Arial" w:hAnsi="Arial"/>
                <w:sz w:val="18"/>
                <w:szCs w:val="18"/>
                <w:color w:val="282525"/>
              </w:rPr>
              <w:t>Goodwill</w:t>
            </w: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421,578</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421,578</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421,578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260"/>
              <w:spacing w:after="0"/>
              <w:rPr>
                <w:sz w:val="20"/>
                <w:szCs w:val="20"/>
                <w:color w:val="auto"/>
              </w:rPr>
            </w:pPr>
            <w:r>
              <w:rPr>
                <w:rFonts w:ascii="Arial" w:cs="Arial" w:eastAsia="Arial" w:hAnsi="Arial"/>
                <w:sz w:val="18"/>
                <w:szCs w:val="18"/>
                <w:color w:val="282525"/>
              </w:rPr>
              <w:t>Investments in associates and joint ventures</w:t>
            </w: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470</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5,517</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4,126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260"/>
              <w:spacing w:after="0"/>
              <w:rPr>
                <w:sz w:val="20"/>
                <w:szCs w:val="20"/>
                <w:color w:val="auto"/>
              </w:rPr>
            </w:pPr>
            <w:r>
              <w:rPr>
                <w:rFonts w:ascii="Arial" w:cs="Arial" w:eastAsia="Arial" w:hAnsi="Arial"/>
                <w:sz w:val="18"/>
                <w:szCs w:val="18"/>
                <w:color w:val="282525"/>
              </w:rPr>
              <w:t>Other financial assets</w:t>
            </w: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1,765</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1,857</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80" w:type="dxa"/>
            <w:vAlign w:val="bottom"/>
          </w:tcPr>
          <w:p>
            <w:pPr>
              <w:ind w:left="260"/>
              <w:spacing w:after="0"/>
              <w:rPr>
                <w:sz w:val="20"/>
                <w:szCs w:val="20"/>
                <w:color w:val="auto"/>
              </w:rPr>
            </w:pPr>
            <w:r>
              <w:rPr>
                <w:rFonts w:ascii="Arial" w:cs="Arial" w:eastAsia="Arial" w:hAnsi="Arial"/>
                <w:sz w:val="18"/>
                <w:szCs w:val="18"/>
                <w:color w:val="282525"/>
              </w:rPr>
              <w:t>Deferred tax assets</w:t>
            </w: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783</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958</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1,117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non-current assets</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561,623</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561,989</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559,855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Current assets</w:t>
            </w: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100" w:type="dxa"/>
            <w:vAlign w:val="bottom"/>
            <w:gridSpan w:val="2"/>
            <w:vMerge w:val="continue"/>
          </w:tcPr>
          <w:p>
            <w:pPr>
              <w:spacing w:after="0"/>
              <w:rPr>
                <w:sz w:val="17"/>
                <w:szCs w:val="17"/>
                <w:color w:val="auto"/>
              </w:rPr>
            </w:pPr>
          </w:p>
        </w:tc>
        <w:tc>
          <w:tcPr>
            <w:tcW w:w="1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260"/>
              <w:spacing w:after="0"/>
              <w:rPr>
                <w:sz w:val="20"/>
                <w:szCs w:val="20"/>
                <w:color w:val="auto"/>
              </w:rPr>
            </w:pPr>
            <w:r>
              <w:rPr>
                <w:rFonts w:ascii="Arial" w:cs="Arial" w:eastAsia="Arial" w:hAnsi="Arial"/>
                <w:sz w:val="18"/>
                <w:szCs w:val="18"/>
                <w:color w:val="282525"/>
              </w:rPr>
              <w:t>Trade receivables</w:t>
            </w: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30,001</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31,072</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260"/>
              <w:spacing w:after="0"/>
              <w:rPr>
                <w:sz w:val="20"/>
                <w:szCs w:val="20"/>
                <w:color w:val="auto"/>
              </w:rPr>
            </w:pPr>
            <w:r>
              <w:rPr>
                <w:rFonts w:ascii="Arial" w:cs="Arial" w:eastAsia="Arial" w:hAnsi="Arial"/>
                <w:sz w:val="18"/>
                <w:szCs w:val="18"/>
                <w:color w:val="282525"/>
              </w:rPr>
              <w:t>Other receivables</w:t>
            </w: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6,012</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7,865</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7,075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260"/>
              <w:spacing w:after="0"/>
              <w:rPr>
                <w:sz w:val="20"/>
                <w:szCs w:val="20"/>
                <w:color w:val="auto"/>
              </w:rPr>
            </w:pPr>
            <w:r>
              <w:rPr>
                <w:rFonts w:ascii="Arial" w:cs="Arial" w:eastAsia="Arial" w:hAnsi="Arial"/>
                <w:sz w:val="18"/>
                <w:szCs w:val="18"/>
                <w:color w:val="282525"/>
              </w:rPr>
              <w:t>Prepayments</w:t>
            </w: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4,117</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2,166</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80" w:type="dxa"/>
            <w:vAlign w:val="bottom"/>
          </w:tcPr>
          <w:p>
            <w:pPr>
              <w:ind w:left="260"/>
              <w:spacing w:after="0"/>
              <w:rPr>
                <w:sz w:val="20"/>
                <w:szCs w:val="20"/>
                <w:color w:val="auto"/>
              </w:rPr>
            </w:pPr>
            <w:r>
              <w:rPr>
                <w:rFonts w:ascii="Arial" w:cs="Arial" w:eastAsia="Arial" w:hAnsi="Arial"/>
                <w:sz w:val="18"/>
                <w:szCs w:val="18"/>
                <w:color w:val="282525"/>
              </w:rPr>
              <w:t>Cash and cash equivalents</w:t>
            </w: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21,099</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33,207</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43,993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61,228</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74,311</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91,636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80" w:type="dxa"/>
            <w:vAlign w:val="bottom"/>
            <w:vMerge w:val="restart"/>
          </w:tcPr>
          <w:p>
            <w:pPr>
              <w:spacing w:after="0"/>
              <w:rPr>
                <w:sz w:val="20"/>
                <w:szCs w:val="20"/>
                <w:color w:val="auto"/>
              </w:rPr>
            </w:pPr>
            <w:r>
              <w:rPr>
                <w:rFonts w:ascii="Arial" w:cs="Arial" w:eastAsia="Arial" w:hAnsi="Arial"/>
                <w:sz w:val="18"/>
                <w:szCs w:val="18"/>
                <w:b w:val="1"/>
                <w:bCs w:val="1"/>
                <w:color w:val="auto"/>
              </w:rPr>
              <w:t>TOTAL ASSETS</w:t>
            </w: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080" w:type="dxa"/>
            <w:vAlign w:val="bottom"/>
            <w:tcBorders>
              <w:bottom w:val="single" w:sz="8" w:color="CCEEFF"/>
            </w:tcBorders>
            <w:vMerge w:val="continue"/>
          </w:tcPr>
          <w:p>
            <w:pPr>
              <w:spacing w:after="0"/>
              <w:rPr>
                <w:sz w:val="20"/>
                <w:szCs w:val="20"/>
                <w:color w:val="auto"/>
              </w:rPr>
            </w:pPr>
          </w:p>
        </w:tc>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622,851</w:t>
            </w:r>
          </w:p>
        </w:tc>
        <w:tc>
          <w:tcPr>
            <w:tcW w:w="260" w:type="dxa"/>
            <w:vAlign w:val="bottom"/>
            <w:tcBorders>
              <w:bottom w:val="single" w:sz="8" w:color="CCEEFF"/>
            </w:tcBorders>
            <w:vMerge w:val="continue"/>
          </w:tcPr>
          <w:p>
            <w:pPr>
              <w:spacing w:after="0"/>
              <w:rPr>
                <w:sz w:val="20"/>
                <w:szCs w:val="20"/>
                <w:color w:val="auto"/>
              </w:rPr>
            </w:pP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636,300</w:t>
            </w:r>
          </w:p>
        </w:tc>
        <w:tc>
          <w:tcPr>
            <w:tcW w:w="200" w:type="dxa"/>
            <w:vAlign w:val="bottom"/>
            <w:tcBorders>
              <w:bottom w:val="single" w:sz="8" w:color="CCEEFF"/>
            </w:tcBorders>
            <w:vMerge w:val="continue"/>
          </w:tcPr>
          <w:p>
            <w:pPr>
              <w:spacing w:after="0"/>
              <w:rPr>
                <w:sz w:val="20"/>
                <w:szCs w:val="20"/>
                <w:color w:val="auto"/>
              </w:rPr>
            </w:pPr>
          </w:p>
        </w:tc>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651,491</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0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b w:val="1"/>
                <w:bCs w:val="1"/>
                <w:color w:val="auto"/>
              </w:rPr>
              <w:t>EQUITY AND LIABILITIES</w:t>
            </w: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260"/>
              <w:spacing w:after="0"/>
              <w:rPr>
                <w:sz w:val="20"/>
                <w:szCs w:val="20"/>
                <w:color w:val="auto"/>
              </w:rPr>
            </w:pPr>
            <w:r>
              <w:rPr>
                <w:rFonts w:ascii="Arial" w:cs="Arial" w:eastAsia="Arial" w:hAnsi="Arial"/>
                <w:sz w:val="18"/>
                <w:szCs w:val="18"/>
                <w:color w:val="282525"/>
              </w:rPr>
              <w:t>Contributed equity</w:t>
            </w: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576,531</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576,531</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576,531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260"/>
              <w:spacing w:after="0"/>
              <w:rPr>
                <w:sz w:val="20"/>
                <w:szCs w:val="20"/>
                <w:color w:val="auto"/>
              </w:rPr>
            </w:pPr>
            <w:r>
              <w:rPr>
                <w:rFonts w:ascii="Arial" w:cs="Arial" w:eastAsia="Arial" w:hAnsi="Arial"/>
                <w:sz w:val="18"/>
                <w:szCs w:val="18"/>
                <w:color w:val="282525"/>
              </w:rPr>
              <w:t>Retained earnings (accumulated deficit)</w:t>
            </w: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(8,395)</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5,366</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21,683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80" w:type="dxa"/>
            <w:vAlign w:val="bottom"/>
          </w:tcPr>
          <w:p>
            <w:pPr>
              <w:ind w:left="260"/>
              <w:spacing w:after="0"/>
              <w:rPr>
                <w:sz w:val="20"/>
                <w:szCs w:val="20"/>
                <w:color w:val="auto"/>
              </w:rPr>
            </w:pPr>
            <w:r>
              <w:rPr>
                <w:rFonts w:ascii="Arial" w:cs="Arial" w:eastAsia="Arial" w:hAnsi="Arial"/>
                <w:sz w:val="18"/>
                <w:szCs w:val="18"/>
                <w:color w:val="282525"/>
              </w:rPr>
              <w:t>Other components of equity</w:t>
            </w: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852</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1,605</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282525"/>
              </w:rPr>
              <w:t>Equity attributed to members</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568,989</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583,503</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598,585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80" w:type="dxa"/>
            <w:vAlign w:val="bottom"/>
            <w:vMerge w:val="restart"/>
          </w:tcPr>
          <w:p>
            <w:pPr>
              <w:ind w:left="260"/>
              <w:spacing w:after="0"/>
              <w:rPr>
                <w:sz w:val="20"/>
                <w:szCs w:val="20"/>
                <w:color w:val="auto"/>
              </w:rPr>
            </w:pPr>
            <w:r>
              <w:rPr>
                <w:rFonts w:ascii="Arial" w:cs="Arial" w:eastAsia="Arial" w:hAnsi="Arial"/>
                <w:sz w:val="18"/>
                <w:szCs w:val="18"/>
                <w:color w:val="282525"/>
              </w:rPr>
              <w:t>Non-controlling interests</w:t>
            </w: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7080" w:type="dxa"/>
            <w:vAlign w:val="bottom"/>
            <w:tcBorders>
              <w:bottom w:val="single" w:sz="8" w:color="CCEEFF"/>
            </w:tcBorders>
            <w:vMerge w:val="continue"/>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282525"/>
              </w:rPr>
              <w:t>Total equity</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568,989</w:t>
            </w:r>
          </w:p>
        </w:tc>
        <w:tc>
          <w:tcPr>
            <w:tcW w:w="26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583,503</w:t>
            </w:r>
          </w:p>
        </w:tc>
        <w:tc>
          <w:tcPr>
            <w:tcW w:w="2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598,585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Non-current liabilities</w:t>
            </w: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100" w:type="dxa"/>
            <w:vAlign w:val="bottom"/>
            <w:gridSpan w:val="2"/>
            <w:vMerge w:val="continue"/>
          </w:tcPr>
          <w:p>
            <w:pPr>
              <w:spacing w:after="0"/>
              <w:rPr>
                <w:sz w:val="17"/>
                <w:szCs w:val="17"/>
                <w:color w:val="auto"/>
              </w:rPr>
            </w:pPr>
          </w:p>
        </w:tc>
        <w:tc>
          <w:tcPr>
            <w:tcW w:w="1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Financial lease liabilities and other loans</w:t>
            </w: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3,438</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4,032</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260"/>
              <w:spacing w:after="0"/>
              <w:rPr>
                <w:sz w:val="20"/>
                <w:szCs w:val="20"/>
                <w:color w:val="auto"/>
              </w:rPr>
            </w:pPr>
            <w:r>
              <w:rPr>
                <w:rFonts w:ascii="Arial" w:cs="Arial" w:eastAsia="Arial" w:hAnsi="Arial"/>
                <w:sz w:val="18"/>
                <w:szCs w:val="18"/>
                <w:color w:val="auto"/>
              </w:rPr>
              <w:t>Deferred tax liabilities</w:t>
            </w: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15,292</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11,828</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14,519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80" w:type="dxa"/>
            <w:vAlign w:val="bottom"/>
            <w:shd w:val="clear" w:color="auto" w:fill="CCEEFF"/>
          </w:tcPr>
          <w:p>
            <w:pPr>
              <w:ind w:left="260"/>
              <w:spacing w:after="0"/>
              <w:rPr>
                <w:sz w:val="20"/>
                <w:szCs w:val="20"/>
                <w:color w:val="auto"/>
              </w:rPr>
            </w:pPr>
            <w:r>
              <w:rPr>
                <w:rFonts w:ascii="Arial" w:cs="Arial" w:eastAsia="Arial" w:hAnsi="Arial"/>
                <w:sz w:val="18"/>
                <w:szCs w:val="18"/>
                <w:color w:val="282525"/>
              </w:rPr>
              <w:t>Other liabilities</w:t>
            </w: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1,685</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0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282525"/>
              </w:rPr>
              <w:t>Total non-current liabilities</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20,415</w:t>
            </w:r>
          </w:p>
        </w:tc>
        <w:tc>
          <w:tcPr>
            <w:tcW w:w="260" w:type="dxa"/>
            <w:vAlign w:val="bottom"/>
            <w:tcBorders>
              <w:bottom w:val="single" w:sz="8" w:color="CCEEFF"/>
            </w:tcBorders>
          </w:tcPr>
          <w:p>
            <w:pPr>
              <w:spacing w:after="0"/>
              <w:rPr>
                <w:sz w:val="22"/>
                <w:szCs w:val="22"/>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15,947</w:t>
            </w:r>
          </w:p>
        </w:tc>
        <w:tc>
          <w:tcPr>
            <w:tcW w:w="200" w:type="dxa"/>
            <w:vAlign w:val="bottom"/>
            <w:tcBorders>
              <w:bottom w:val="single" w:sz="8" w:color="CCEEFF"/>
            </w:tcBorders>
          </w:tcPr>
          <w:p>
            <w:pPr>
              <w:spacing w:after="0"/>
              <w:rPr>
                <w:sz w:val="22"/>
                <w:szCs w:val="22"/>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17,865</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0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Current liabilities</w:t>
            </w:r>
          </w:p>
        </w:tc>
        <w:tc>
          <w:tcPr>
            <w:tcW w:w="1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260"/>
              <w:spacing w:after="0"/>
              <w:rPr>
                <w:sz w:val="20"/>
                <w:szCs w:val="20"/>
                <w:color w:val="auto"/>
              </w:rPr>
            </w:pPr>
            <w:r>
              <w:rPr>
                <w:rFonts w:ascii="Arial" w:cs="Arial" w:eastAsia="Arial" w:hAnsi="Arial"/>
                <w:sz w:val="18"/>
                <w:szCs w:val="18"/>
                <w:color w:val="auto"/>
              </w:rPr>
              <w:t>Trade and other payables</w:t>
            </w: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19,175</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21,401</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21,804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Deferred revenue</w:t>
            </w: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2,604</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1,472</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260"/>
              <w:spacing w:after="0"/>
              <w:rPr>
                <w:sz w:val="20"/>
                <w:szCs w:val="20"/>
                <w:color w:val="auto"/>
              </w:rPr>
            </w:pPr>
            <w:r>
              <w:rPr>
                <w:rFonts w:ascii="Arial" w:cs="Arial" w:eastAsia="Arial" w:hAnsi="Arial"/>
                <w:sz w:val="18"/>
                <w:szCs w:val="18"/>
                <w:color w:val="auto"/>
              </w:rPr>
              <w:t>Financial lease liabilities and other loans</w:t>
            </w: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3,024</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2,073</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2,589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Income tax payable</w:t>
            </w: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1,394</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3,709</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80" w:type="dxa"/>
            <w:vAlign w:val="bottom"/>
          </w:tcPr>
          <w:p>
            <w:pPr>
              <w:ind w:left="260"/>
              <w:spacing w:after="0"/>
              <w:rPr>
                <w:sz w:val="20"/>
                <w:szCs w:val="20"/>
                <w:color w:val="auto"/>
              </w:rPr>
            </w:pPr>
            <w:r>
              <w:rPr>
                <w:rFonts w:ascii="Arial" w:cs="Arial" w:eastAsia="Arial" w:hAnsi="Arial"/>
                <w:sz w:val="18"/>
                <w:szCs w:val="18"/>
                <w:color w:val="282525"/>
              </w:rPr>
              <w:t>Other liabilities</w:t>
            </w: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7,250</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8,195</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6,102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33,447</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36,850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35,041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80" w:type="dxa"/>
            <w:vAlign w:val="bottom"/>
            <w:vMerge w:val="restart"/>
          </w:tcPr>
          <w:p>
            <w:pPr>
              <w:spacing w:after="0"/>
              <w:rPr>
                <w:sz w:val="20"/>
                <w:szCs w:val="20"/>
                <w:color w:val="auto"/>
              </w:rPr>
            </w:pPr>
            <w:r>
              <w:rPr>
                <w:rFonts w:ascii="Arial" w:cs="Arial" w:eastAsia="Arial" w:hAnsi="Arial"/>
                <w:sz w:val="18"/>
                <w:szCs w:val="18"/>
                <w:b w:val="1"/>
                <w:bCs w:val="1"/>
                <w:color w:val="auto"/>
              </w:rPr>
              <w:t>Total liabilities</w:t>
            </w: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080" w:type="dxa"/>
            <w:vAlign w:val="bottom"/>
            <w:tcBorders>
              <w:bottom w:val="single" w:sz="8" w:color="CCEEFF"/>
            </w:tcBorders>
            <w:vMerge w:val="continue"/>
          </w:tcPr>
          <w:p>
            <w:pPr>
              <w:spacing w:after="0"/>
              <w:rPr>
                <w:sz w:val="20"/>
                <w:szCs w:val="20"/>
                <w:color w:val="auto"/>
              </w:rPr>
            </w:pPr>
          </w:p>
        </w:tc>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53,862</w:t>
            </w:r>
          </w:p>
        </w:tc>
        <w:tc>
          <w:tcPr>
            <w:tcW w:w="260" w:type="dxa"/>
            <w:vAlign w:val="bottom"/>
            <w:tcBorders>
              <w:bottom w:val="single" w:sz="8" w:color="CCEEFF"/>
            </w:tcBorders>
            <w:vMerge w:val="continue"/>
          </w:tcPr>
          <w:p>
            <w:pPr>
              <w:spacing w:after="0"/>
              <w:rPr>
                <w:sz w:val="20"/>
                <w:szCs w:val="20"/>
                <w:color w:val="auto"/>
              </w:rPr>
            </w:pP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52,797</w:t>
            </w:r>
          </w:p>
        </w:tc>
        <w:tc>
          <w:tcPr>
            <w:tcW w:w="200" w:type="dxa"/>
            <w:vAlign w:val="bottom"/>
            <w:tcBorders>
              <w:bottom w:val="single" w:sz="8" w:color="CCEEFF"/>
            </w:tcBorders>
            <w:vMerge w:val="continue"/>
          </w:tcPr>
          <w:p>
            <w:pPr>
              <w:spacing w:after="0"/>
              <w:rPr>
                <w:sz w:val="20"/>
                <w:szCs w:val="20"/>
                <w:color w:val="auto"/>
              </w:rPr>
            </w:pPr>
          </w:p>
        </w:tc>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52,906</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080" w:type="dxa"/>
            <w:vAlign w:val="bottom"/>
            <w:tcBorders>
              <w:bottom w:val="single" w:sz="8" w:color="CCEEFF"/>
            </w:tcBorders>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TOTAL EQUITY AND LIABILITIES</w:t>
            </w:r>
          </w:p>
        </w:tc>
        <w:tc>
          <w:tcPr>
            <w:tcW w:w="12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622,851</w:t>
            </w:r>
          </w:p>
        </w:tc>
        <w:tc>
          <w:tcPr>
            <w:tcW w:w="26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636,300</w:t>
            </w:r>
          </w:p>
        </w:tc>
        <w:tc>
          <w:tcPr>
            <w:tcW w:w="20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651,491</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20" w:type="dxa"/>
            <w:vAlign w:val="bottom"/>
          </w:tcPr>
          <w:p>
            <w:pPr>
              <w:spacing w:after="0"/>
              <w:rPr>
                <w:sz w:val="24"/>
                <w:szCs w:val="24"/>
                <w:color w:val="auto"/>
              </w:rPr>
            </w:pPr>
          </w:p>
        </w:tc>
        <w:tc>
          <w:tcPr>
            <w:tcW w:w="70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OPERA LIMITED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CONDENSED CONSOLIDATED STATEMENTS OF CHANGES IN EQUITY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4"/>
          </w:tcPr>
          <w:p>
            <w:pPr>
              <w:jc w:val="center"/>
              <w:ind w:right="580"/>
              <w:spacing w:after="0"/>
              <w:rPr>
                <w:sz w:val="20"/>
                <w:szCs w:val="20"/>
                <w:color w:val="auto"/>
              </w:rPr>
            </w:pPr>
            <w:r>
              <w:rPr>
                <w:rFonts w:ascii="Arial" w:cs="Arial" w:eastAsia="Arial" w:hAnsi="Arial"/>
                <w:sz w:val="18"/>
                <w:szCs w:val="18"/>
                <w:b w:val="1"/>
                <w:bCs w:val="1"/>
                <w:color w:val="auto"/>
                <w:w w:val="92"/>
              </w:rPr>
              <w:t>Retained</w:t>
            </w:r>
          </w:p>
        </w:tc>
        <w:tc>
          <w:tcPr>
            <w:tcW w:w="144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95"/>
              </w:rPr>
              <w:t>Other</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144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92"/>
              </w:rPr>
              <w:t>Contributed</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gridSpan w:val="4"/>
          </w:tcPr>
          <w:p>
            <w:pPr>
              <w:jc w:val="center"/>
              <w:ind w:right="580"/>
              <w:spacing w:after="0"/>
              <w:rPr>
                <w:sz w:val="20"/>
                <w:szCs w:val="20"/>
                <w:color w:val="auto"/>
              </w:rPr>
            </w:pPr>
            <w:r>
              <w:rPr>
                <w:rFonts w:ascii="Arial" w:cs="Arial" w:eastAsia="Arial" w:hAnsi="Arial"/>
                <w:sz w:val="18"/>
                <w:szCs w:val="18"/>
                <w:b w:val="1"/>
                <w:bCs w:val="1"/>
                <w:color w:val="auto"/>
                <w:w w:val="87"/>
              </w:rPr>
              <w:t>earnings</w:t>
            </w:r>
          </w:p>
        </w:tc>
        <w:tc>
          <w:tcPr>
            <w:tcW w:w="144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w w:val="86"/>
              </w:rPr>
              <w:t>components of</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5340" w:type="dxa"/>
            <w:vAlign w:val="bottom"/>
            <w:gridSpan w:val="2"/>
          </w:tcPr>
          <w:p>
            <w:pPr>
              <w:spacing w:after="0"/>
              <w:rPr>
                <w:sz w:val="20"/>
                <w:szCs w:val="20"/>
                <w:color w:val="auto"/>
              </w:rPr>
            </w:pPr>
            <w:r>
              <w:rPr>
                <w:rFonts w:ascii="Arial" w:cs="Arial" w:eastAsia="Arial" w:hAnsi="Arial"/>
                <w:sz w:val="18"/>
                <w:szCs w:val="18"/>
                <w:color w:val="auto"/>
              </w:rPr>
              <w:t>[Numbers in US$ thousands]</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0"/>
              </w:rPr>
              <w:t>equity</w:t>
            </w:r>
          </w:p>
        </w:tc>
        <w:tc>
          <w:tcPr>
            <w:tcW w:w="1860" w:type="dxa"/>
            <w:vAlign w:val="bottom"/>
            <w:gridSpan w:val="6"/>
          </w:tcPr>
          <w:p>
            <w:pPr>
              <w:jc w:val="center"/>
              <w:ind w:right="240"/>
              <w:spacing w:after="0"/>
              <w:rPr>
                <w:sz w:val="20"/>
                <w:szCs w:val="20"/>
                <w:color w:val="auto"/>
              </w:rPr>
            </w:pPr>
            <w:r>
              <w:rPr>
                <w:rFonts w:ascii="Arial" w:cs="Arial" w:eastAsia="Arial" w:hAnsi="Arial"/>
                <w:sz w:val="18"/>
                <w:szCs w:val="18"/>
                <w:b w:val="1"/>
                <w:bCs w:val="1"/>
                <w:color w:val="auto"/>
                <w:w w:val="89"/>
              </w:rPr>
              <w:t>(accumulated deficit)</w:t>
            </w:r>
          </w:p>
        </w:tc>
        <w:tc>
          <w:tcPr>
            <w:tcW w:w="144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w w:val="90"/>
              </w:rPr>
              <w:t>equity</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Total equity</w:t>
            </w:r>
          </w:p>
        </w:tc>
      </w:tr>
      <w:tr>
        <w:trPr>
          <w:trHeight w:val="210"/>
        </w:trPr>
        <w:tc>
          <w:tcPr>
            <w:tcW w:w="5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January 1, 2017</w:t>
            </w: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576,531</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(7,704)</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(630)</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568,197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340" w:type="dxa"/>
            <w:vAlign w:val="bottom"/>
            <w:gridSpan w:val="2"/>
          </w:tcPr>
          <w:p>
            <w:pPr>
              <w:spacing w:after="0"/>
              <w:rPr>
                <w:sz w:val="20"/>
                <w:szCs w:val="20"/>
                <w:color w:val="auto"/>
              </w:rPr>
            </w:pPr>
            <w:r>
              <w:rPr>
                <w:rFonts w:ascii="Arial" w:cs="Arial" w:eastAsia="Arial" w:hAnsi="Arial"/>
                <w:sz w:val="18"/>
                <w:szCs w:val="18"/>
                <w:color w:val="auto"/>
              </w:rPr>
              <w:t>Net income (loss) for the period</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3"/>
          </w:tcPr>
          <w:p>
            <w:pPr>
              <w:jc w:val="right"/>
              <w:ind w:right="160"/>
              <w:spacing w:after="0"/>
              <w:rPr>
                <w:sz w:val="20"/>
                <w:szCs w:val="20"/>
                <w:color w:val="auto"/>
              </w:rPr>
            </w:pPr>
            <w:r>
              <w:rPr>
                <w:rFonts w:ascii="Arial" w:cs="Arial" w:eastAsia="Arial" w:hAnsi="Arial"/>
                <w:sz w:val="18"/>
                <w:szCs w:val="18"/>
                <w:color w:val="auto"/>
              </w:rPr>
              <w:t>(2,719)</w:t>
            </w:r>
          </w:p>
        </w:tc>
        <w:tc>
          <w:tcPr>
            <w:tcW w:w="2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(2,719)</w:t>
            </w:r>
          </w:p>
        </w:tc>
      </w:tr>
      <w:tr>
        <w:trPr>
          <w:trHeight w:val="216"/>
        </w:trPr>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1,482</w:t>
            </w:r>
          </w:p>
        </w:tc>
        <w:tc>
          <w:tcPr>
            <w:tcW w:w="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1,482</w:t>
            </w:r>
          </w:p>
        </w:tc>
      </w:tr>
      <w:tr>
        <w:trPr>
          <w:trHeight w:val="216"/>
        </w:trPr>
        <w:tc>
          <w:tcPr>
            <w:tcW w:w="5340" w:type="dxa"/>
            <w:vAlign w:val="bottom"/>
            <w:gridSpan w:val="2"/>
          </w:tcPr>
          <w:p>
            <w:pPr>
              <w:spacing w:after="0"/>
              <w:rPr>
                <w:sz w:val="20"/>
                <w:szCs w:val="20"/>
                <w:color w:val="auto"/>
              </w:rPr>
            </w:pPr>
            <w:r>
              <w:rPr>
                <w:rFonts w:ascii="Arial" w:cs="Arial" w:eastAsia="Arial" w:hAnsi="Arial"/>
                <w:sz w:val="18"/>
                <w:szCs w:val="18"/>
                <w:b w:val="1"/>
                <w:bCs w:val="1"/>
                <w:color w:val="auto"/>
              </w:rPr>
              <w:t>Total comprehensive income for the period</w:t>
            </w:r>
          </w:p>
        </w:tc>
        <w:tc>
          <w:tcPr>
            <w:tcW w:w="122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(2,719)</w:t>
            </w:r>
          </w:p>
        </w:tc>
        <w:tc>
          <w:tcPr>
            <w:tcW w:w="20" w:type="dxa"/>
            <w:vAlign w:val="bottom"/>
          </w:tcPr>
          <w:p>
            <w:pPr>
              <w:spacing w:after="0"/>
              <w:rPr>
                <w:sz w:val="18"/>
                <w:szCs w:val="18"/>
                <w:color w:val="auto"/>
              </w:rPr>
            </w:pPr>
          </w:p>
        </w:tc>
        <w:tc>
          <w:tcPr>
            <w:tcW w:w="142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1,482</w:t>
            </w:r>
          </w:p>
        </w:tc>
        <w:tc>
          <w:tcPr>
            <w:tcW w:w="2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(1,236)</w:t>
            </w:r>
          </w:p>
        </w:tc>
      </w:tr>
      <w:tr>
        <w:trPr>
          <w:trHeight w:val="216"/>
        </w:trPr>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Share-based payment transactions</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2,028</w:t>
            </w:r>
          </w:p>
        </w:tc>
        <w:tc>
          <w:tcPr>
            <w:tcW w:w="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2,028</w:t>
            </w:r>
          </w:p>
        </w:tc>
      </w:tr>
      <w:tr>
        <w:trPr>
          <w:trHeight w:val="234"/>
        </w:trPr>
        <w:tc>
          <w:tcPr>
            <w:tcW w:w="5340" w:type="dxa"/>
            <w:vAlign w:val="bottom"/>
            <w:gridSpan w:val="2"/>
          </w:tcPr>
          <w:p>
            <w:pPr>
              <w:spacing w:after="0"/>
              <w:rPr>
                <w:sz w:val="20"/>
                <w:szCs w:val="20"/>
                <w:color w:val="auto"/>
              </w:rPr>
            </w:pPr>
            <w:r>
              <w:rPr>
                <w:rFonts w:ascii="Arial" w:cs="Arial" w:eastAsia="Arial" w:hAnsi="Arial"/>
                <w:sz w:val="18"/>
                <w:szCs w:val="18"/>
                <w:b w:val="1"/>
                <w:bCs w:val="1"/>
                <w:color w:val="auto"/>
              </w:rPr>
              <w:t>Balance as of June 30, 2017</w:t>
            </w:r>
          </w:p>
        </w:tc>
        <w:tc>
          <w:tcPr>
            <w:tcW w:w="1440" w:type="dxa"/>
            <w:vAlign w:val="bottom"/>
            <w:gridSpan w:val="4"/>
          </w:tcPr>
          <w:p>
            <w:pPr>
              <w:jc w:val="right"/>
              <w:ind w:right="220"/>
              <w:spacing w:after="0"/>
              <w:rPr>
                <w:sz w:val="20"/>
                <w:szCs w:val="20"/>
                <w:color w:val="auto"/>
              </w:rPr>
            </w:pPr>
            <w:r>
              <w:rPr>
                <w:rFonts w:ascii="Arial" w:cs="Arial" w:eastAsia="Arial" w:hAnsi="Arial"/>
                <w:sz w:val="18"/>
                <w:szCs w:val="18"/>
                <w:b w:val="1"/>
                <w:bCs w:val="1"/>
                <w:color w:val="auto"/>
              </w:rPr>
              <w:t>576,531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(8,395)</w:t>
            </w:r>
          </w:p>
        </w:tc>
        <w:tc>
          <w:tcPr>
            <w:tcW w:w="20" w:type="dxa"/>
            <w:vAlign w:val="bottom"/>
          </w:tcPr>
          <w:p>
            <w:pPr>
              <w:spacing w:after="0"/>
              <w:rPr>
                <w:sz w:val="20"/>
                <w:szCs w:val="20"/>
                <w:color w:val="auto"/>
              </w:rPr>
            </w:pPr>
          </w:p>
        </w:tc>
        <w:tc>
          <w:tcPr>
            <w:tcW w:w="142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852</w:t>
            </w:r>
          </w:p>
        </w:tc>
        <w:tc>
          <w:tcPr>
            <w:tcW w:w="20" w:type="dxa"/>
            <w:vAlign w:val="bottom"/>
          </w:tcPr>
          <w:p>
            <w:pPr>
              <w:spacing w:after="0"/>
              <w:rPr>
                <w:sz w:val="20"/>
                <w:szCs w:val="20"/>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568,989</w:t>
            </w:r>
          </w:p>
        </w:tc>
      </w:tr>
      <w:tr>
        <w:trPr>
          <w:trHeight w:val="423"/>
        </w:trPr>
        <w:tc>
          <w:tcPr>
            <w:tcW w:w="5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gridSpan w:val="4"/>
          </w:tcPr>
          <w:p>
            <w:pPr>
              <w:jc w:val="center"/>
              <w:ind w:right="260"/>
              <w:spacing w:after="0"/>
              <w:rPr>
                <w:sz w:val="20"/>
                <w:szCs w:val="20"/>
                <w:color w:val="auto"/>
              </w:rPr>
            </w:pPr>
            <w:r>
              <w:rPr>
                <w:rFonts w:ascii="Arial" w:cs="Arial" w:eastAsia="Arial" w:hAnsi="Arial"/>
                <w:sz w:val="18"/>
                <w:szCs w:val="18"/>
                <w:b w:val="1"/>
                <w:bCs w:val="1"/>
                <w:color w:val="auto"/>
                <w:w w:val="95"/>
              </w:rPr>
              <w:t>Other</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center"/>
              <w:ind w:left="10"/>
              <w:spacing w:after="0"/>
              <w:rPr>
                <w:sz w:val="20"/>
                <w:szCs w:val="20"/>
                <w:color w:val="auto"/>
              </w:rPr>
            </w:pPr>
            <w:r>
              <w:rPr>
                <w:rFonts w:ascii="Arial" w:cs="Arial" w:eastAsia="Arial" w:hAnsi="Arial"/>
                <w:sz w:val="18"/>
                <w:szCs w:val="18"/>
                <w:b w:val="1"/>
                <w:bCs w:val="1"/>
                <w:color w:val="auto"/>
                <w:w w:val="92"/>
              </w:rPr>
              <w:t>Contributed</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gridSpan w:val="4"/>
          </w:tcPr>
          <w:p>
            <w:pPr>
              <w:ind w:left="300"/>
              <w:spacing w:after="0"/>
              <w:rPr>
                <w:sz w:val="20"/>
                <w:szCs w:val="20"/>
                <w:color w:val="auto"/>
              </w:rPr>
            </w:pPr>
            <w:r>
              <w:rPr>
                <w:rFonts w:ascii="Arial" w:cs="Arial" w:eastAsia="Arial" w:hAnsi="Arial"/>
                <w:sz w:val="18"/>
                <w:szCs w:val="18"/>
                <w:b w:val="1"/>
                <w:bCs w:val="1"/>
                <w:color w:val="auto"/>
              </w:rPr>
              <w:t>Retained</w:t>
            </w:r>
          </w:p>
        </w:tc>
        <w:tc>
          <w:tcPr>
            <w:tcW w:w="1440" w:type="dxa"/>
            <w:vAlign w:val="bottom"/>
            <w:gridSpan w:val="4"/>
          </w:tcPr>
          <w:p>
            <w:pPr>
              <w:jc w:val="center"/>
              <w:ind w:right="260"/>
              <w:spacing w:after="0"/>
              <w:rPr>
                <w:sz w:val="20"/>
                <w:szCs w:val="20"/>
                <w:color w:val="auto"/>
              </w:rPr>
            </w:pPr>
            <w:r>
              <w:rPr>
                <w:rFonts w:ascii="Arial" w:cs="Arial" w:eastAsia="Arial" w:hAnsi="Arial"/>
                <w:sz w:val="18"/>
                <w:szCs w:val="18"/>
                <w:b w:val="1"/>
                <w:bCs w:val="1"/>
                <w:color w:val="auto"/>
                <w:w w:val="85"/>
              </w:rPr>
              <w:t>components of</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5340" w:type="dxa"/>
            <w:vAlign w:val="bottom"/>
            <w:gridSpan w:val="2"/>
          </w:tcPr>
          <w:p>
            <w:pPr>
              <w:spacing w:after="0"/>
              <w:rPr>
                <w:sz w:val="20"/>
                <w:szCs w:val="20"/>
                <w:color w:val="auto"/>
              </w:rPr>
            </w:pPr>
            <w:r>
              <w:rPr>
                <w:rFonts w:ascii="Arial" w:cs="Arial" w:eastAsia="Arial" w:hAnsi="Arial"/>
                <w:sz w:val="18"/>
                <w:szCs w:val="18"/>
                <w:color w:val="auto"/>
              </w:rPr>
              <w:t>[Numbers in US$ thousands]</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equity</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20" w:type="dxa"/>
            <w:vAlign w:val="bottom"/>
            <w:gridSpan w:val="4"/>
          </w:tcPr>
          <w:p>
            <w:pPr>
              <w:ind w:left="320"/>
              <w:spacing w:after="0"/>
              <w:rPr>
                <w:sz w:val="20"/>
                <w:szCs w:val="20"/>
                <w:color w:val="auto"/>
              </w:rPr>
            </w:pPr>
            <w:r>
              <w:rPr>
                <w:rFonts w:ascii="Arial" w:cs="Arial" w:eastAsia="Arial" w:hAnsi="Arial"/>
                <w:sz w:val="18"/>
                <w:szCs w:val="18"/>
                <w:b w:val="1"/>
                <w:bCs w:val="1"/>
                <w:color w:val="auto"/>
              </w:rPr>
              <w:t>earnings</w:t>
            </w:r>
          </w:p>
        </w:tc>
        <w:tc>
          <w:tcPr>
            <w:tcW w:w="144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w w:val="90"/>
              </w:rPr>
              <w:t>equity</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Total equity</w:t>
            </w:r>
          </w:p>
        </w:tc>
      </w:tr>
      <w:tr>
        <w:trPr>
          <w:trHeight w:val="210"/>
        </w:trPr>
        <w:tc>
          <w:tcPr>
            <w:tcW w:w="53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2017 - as previously reported</w:t>
            </w:r>
          </w:p>
        </w:tc>
        <w:tc>
          <w:tcPr>
            <w:tcW w:w="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576,531</w:t>
            </w:r>
          </w:p>
        </w:tc>
        <w:tc>
          <w:tcPr>
            <w:tcW w:w="24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5,366</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1,605</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583,503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340" w:type="dxa"/>
            <w:vAlign w:val="bottom"/>
            <w:gridSpan w:val="2"/>
          </w:tcPr>
          <w:p>
            <w:pPr>
              <w:spacing w:after="0"/>
              <w:rPr>
                <w:sz w:val="20"/>
                <w:szCs w:val="20"/>
                <w:color w:val="auto"/>
              </w:rPr>
            </w:pPr>
            <w:r>
              <w:rPr>
                <w:rFonts w:ascii="Arial" w:cs="Arial" w:eastAsia="Arial" w:hAnsi="Arial"/>
                <w:sz w:val="18"/>
                <w:szCs w:val="18"/>
                <w:color w:val="auto"/>
              </w:rPr>
              <w:t>Change in accounting principles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500" w:type="dxa"/>
            <w:vAlign w:val="bottom"/>
            <w:gridSpan w:val="3"/>
          </w:tcPr>
          <w:p>
            <w:pPr>
              <w:jc w:val="right"/>
              <w:ind w:right="160"/>
              <w:spacing w:after="0"/>
              <w:rPr>
                <w:sz w:val="20"/>
                <w:szCs w:val="20"/>
                <w:color w:val="auto"/>
              </w:rPr>
            </w:pPr>
            <w:r>
              <w:rPr>
                <w:rFonts w:ascii="Arial" w:cs="Arial" w:eastAsia="Arial" w:hAnsi="Arial"/>
                <w:sz w:val="18"/>
                <w:szCs w:val="18"/>
                <w:color w:val="auto"/>
              </w:rPr>
              <w:t>(629)</w:t>
            </w:r>
          </w:p>
        </w:tc>
        <w:tc>
          <w:tcPr>
            <w:tcW w:w="2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(629)</w:t>
            </w:r>
          </w:p>
        </w:tc>
      </w:tr>
      <w:tr>
        <w:trPr>
          <w:trHeight w:val="216"/>
        </w:trPr>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as of January 1, 2018</w:t>
            </w:r>
          </w:p>
        </w:tc>
        <w:tc>
          <w:tcPr>
            <w:tcW w:w="1540" w:type="dxa"/>
            <w:vAlign w:val="bottom"/>
            <w:gridSpan w:val="5"/>
            <w:shd w:val="clear" w:color="auto" w:fill="CCEEFF"/>
          </w:tcPr>
          <w:p>
            <w:pPr>
              <w:jc w:val="right"/>
              <w:spacing w:after="0"/>
              <w:rPr>
                <w:sz w:val="20"/>
                <w:szCs w:val="20"/>
                <w:color w:val="auto"/>
              </w:rPr>
            </w:pPr>
            <w:r>
              <w:rPr>
                <w:rFonts w:ascii="Arial" w:cs="Arial" w:eastAsia="Arial" w:hAnsi="Arial"/>
                <w:sz w:val="18"/>
                <w:szCs w:val="18"/>
                <w:b w:val="1"/>
                <w:bCs w:val="1"/>
                <w:color w:val="auto"/>
              </w:rPr>
              <w:t>576,531</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4,737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1,605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582,874</w:t>
            </w:r>
          </w:p>
        </w:tc>
      </w:tr>
      <w:tr>
        <w:trPr>
          <w:trHeight w:val="216"/>
        </w:trPr>
        <w:tc>
          <w:tcPr>
            <w:tcW w:w="5340" w:type="dxa"/>
            <w:vAlign w:val="bottom"/>
            <w:gridSpan w:val="2"/>
          </w:tcPr>
          <w:p>
            <w:pPr>
              <w:spacing w:after="0"/>
              <w:rPr>
                <w:sz w:val="20"/>
                <w:szCs w:val="20"/>
                <w:color w:val="auto"/>
              </w:rPr>
            </w:pPr>
            <w:r>
              <w:rPr>
                <w:rFonts w:ascii="Arial" w:cs="Arial" w:eastAsia="Arial" w:hAnsi="Arial"/>
                <w:sz w:val="18"/>
                <w:szCs w:val="18"/>
                <w:color w:val="auto"/>
              </w:rPr>
              <w:t>Net income for the period</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14,030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14,030</w:t>
            </w:r>
          </w:p>
        </w:tc>
      </w:tr>
      <w:tr>
        <w:trPr>
          <w:trHeight w:val="216"/>
        </w:trPr>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(1,234)</w:t>
            </w:r>
          </w:p>
        </w:tc>
        <w:tc>
          <w:tcPr>
            <w:tcW w:w="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(1,234)</w:t>
            </w:r>
          </w:p>
        </w:tc>
      </w:tr>
      <w:tr>
        <w:trPr>
          <w:trHeight w:val="216"/>
        </w:trPr>
        <w:tc>
          <w:tcPr>
            <w:tcW w:w="5340" w:type="dxa"/>
            <w:vAlign w:val="bottom"/>
            <w:gridSpan w:val="2"/>
          </w:tcPr>
          <w:p>
            <w:pPr>
              <w:spacing w:after="0"/>
              <w:rPr>
                <w:sz w:val="20"/>
                <w:szCs w:val="20"/>
                <w:color w:val="auto"/>
              </w:rPr>
            </w:pPr>
            <w:r>
              <w:rPr>
                <w:rFonts w:ascii="Arial" w:cs="Arial" w:eastAsia="Arial" w:hAnsi="Arial"/>
                <w:sz w:val="18"/>
                <w:szCs w:val="18"/>
                <w:b w:val="1"/>
                <w:bCs w:val="1"/>
                <w:color w:val="auto"/>
              </w:rPr>
              <w:t>Total comprehensive income for the period</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14,030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(1,234)</w:t>
            </w:r>
          </w:p>
        </w:tc>
        <w:tc>
          <w:tcPr>
            <w:tcW w:w="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12,796</w:t>
            </w:r>
          </w:p>
        </w:tc>
      </w:tr>
      <w:tr>
        <w:trPr>
          <w:trHeight w:val="216"/>
        </w:trPr>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Share-based payment transactions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2,916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2,916</w:t>
            </w:r>
          </w:p>
        </w:tc>
      </w:tr>
      <w:tr>
        <w:trPr>
          <w:trHeight w:val="234"/>
        </w:trPr>
        <w:tc>
          <w:tcPr>
            <w:tcW w:w="5340" w:type="dxa"/>
            <w:vAlign w:val="bottom"/>
            <w:gridSpan w:val="2"/>
          </w:tcPr>
          <w:p>
            <w:pPr>
              <w:spacing w:after="0"/>
              <w:rPr>
                <w:sz w:val="20"/>
                <w:szCs w:val="20"/>
                <w:color w:val="auto"/>
              </w:rPr>
            </w:pPr>
            <w:r>
              <w:rPr>
                <w:rFonts w:ascii="Arial" w:cs="Arial" w:eastAsia="Arial" w:hAnsi="Arial"/>
                <w:sz w:val="18"/>
                <w:szCs w:val="18"/>
                <w:b w:val="1"/>
                <w:bCs w:val="1"/>
                <w:color w:val="auto"/>
              </w:rPr>
              <w:t>Balance as of June 30, 2018</w:t>
            </w:r>
          </w:p>
        </w:tc>
        <w:tc>
          <w:tcPr>
            <w:tcW w:w="1540" w:type="dxa"/>
            <w:vAlign w:val="bottom"/>
            <w:gridSpan w:val="5"/>
          </w:tcPr>
          <w:p>
            <w:pPr>
              <w:jc w:val="right"/>
              <w:spacing w:after="0"/>
              <w:rPr>
                <w:sz w:val="20"/>
                <w:szCs w:val="20"/>
                <w:color w:val="auto"/>
              </w:rPr>
            </w:pPr>
            <w:r>
              <w:rPr>
                <w:rFonts w:ascii="Arial" w:cs="Arial" w:eastAsia="Arial" w:hAnsi="Arial"/>
                <w:sz w:val="18"/>
                <w:szCs w:val="18"/>
                <w:b w:val="1"/>
                <w:bCs w:val="1"/>
                <w:color w:val="auto"/>
              </w:rPr>
              <w:t>576,531</w:t>
            </w:r>
          </w:p>
        </w:tc>
        <w:tc>
          <w:tcPr>
            <w:tcW w:w="240" w:type="dxa"/>
            <w:vAlign w:val="bottom"/>
          </w:tcPr>
          <w:p>
            <w:pPr>
              <w:spacing w:after="0"/>
              <w:rPr>
                <w:sz w:val="20"/>
                <w:szCs w:val="20"/>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21,683</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372</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598,585</w:t>
            </w:r>
          </w:p>
        </w:tc>
      </w:tr>
      <w:tr>
        <w:trPr>
          <w:trHeight w:val="657"/>
        </w:trPr>
        <w:tc>
          <w:tcPr>
            <w:tcW w:w="5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General information</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financial information of Opera Limited ("the Company") and its subsidiaries (collectively, "the Group" or "Opera"), for the period ended June 30, 2018 was approved by the Company’s Board of Directors on August 23, 2018.</w:t>
      </w:r>
    </w:p>
    <w:p>
      <w:pPr>
        <w:spacing w:after="0" w:line="17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Opera Limited, with its office in George Town, Cayman Islands, is a limited liability company duly incorporated and validly existing under the laws of the Cayman Islands.</w:t>
      </w:r>
    </w:p>
    <w:p>
      <w:pPr>
        <w:spacing w:after="0" w:line="170" w:lineRule="exact"/>
        <w:rPr>
          <w:sz w:val="20"/>
          <w:szCs w:val="20"/>
          <w:color w:val="auto"/>
        </w:rPr>
      </w:pPr>
    </w:p>
    <w:p>
      <w:pPr>
        <w:ind w:right="1060"/>
        <w:spacing w:after="0" w:line="277" w:lineRule="auto"/>
        <w:rPr>
          <w:sz w:val="20"/>
          <w:szCs w:val="20"/>
          <w:color w:val="auto"/>
        </w:rPr>
      </w:pPr>
      <w:r>
        <w:rPr>
          <w:rFonts w:ascii="Arial" w:cs="Arial" w:eastAsia="Arial" w:hAnsi="Arial"/>
          <w:sz w:val="18"/>
          <w:szCs w:val="18"/>
          <w:color w:val="auto"/>
        </w:rPr>
        <w:t>Opera is one of the world’s leading browser providers and an influential player in the field of integrated AI-driven digital content discovery and recommendation platforms.</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80" w:type="dxa"/>
            <w:vAlign w:val="bottom"/>
            <w:gridSpan w:val="2"/>
          </w:tcPr>
          <w:p>
            <w:pPr>
              <w:spacing w:after="0"/>
              <w:rPr>
                <w:sz w:val="20"/>
                <w:szCs w:val="20"/>
                <w:color w:val="auto"/>
              </w:rPr>
            </w:pPr>
            <w:r>
              <w:rPr>
                <w:rFonts w:ascii="Arial" w:cs="Arial" w:eastAsia="Arial" w:hAnsi="Arial"/>
                <w:sz w:val="18"/>
                <w:szCs w:val="18"/>
                <w:b w:val="1"/>
                <w:bCs w:val="1"/>
                <w:color w:val="auto"/>
              </w:rPr>
              <w:t>Operating revenue by category</w:t>
            </w: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6"/>
        </w:trPr>
        <w:tc>
          <w:tcPr>
            <w:tcW w:w="5580" w:type="dxa"/>
            <w:vAlign w:val="bottom"/>
            <w:gridSpan w:val="2"/>
          </w:tcPr>
          <w:p>
            <w:pPr>
              <w:spacing w:after="0"/>
              <w:rPr>
                <w:sz w:val="20"/>
                <w:szCs w:val="20"/>
                <w:color w:val="auto"/>
              </w:rPr>
            </w:pPr>
            <w:r>
              <w:rPr>
                <w:rFonts w:ascii="Arial" w:cs="Arial" w:eastAsia="Arial" w:hAnsi="Arial"/>
                <w:sz w:val="18"/>
                <w:szCs w:val="18"/>
                <w:b w:val="1"/>
                <w:bCs w:val="1"/>
                <w:color w:val="auto"/>
              </w:rPr>
              <w:t>[Numbers in US$ thousands]</w:t>
            </w:r>
          </w:p>
        </w:tc>
        <w:tc>
          <w:tcPr>
            <w:tcW w:w="1460" w:type="dxa"/>
            <w:vAlign w:val="bottom"/>
            <w:gridSpan w:val="2"/>
          </w:tcPr>
          <w:p>
            <w:pPr>
              <w:ind w:left="280"/>
              <w:spacing w:after="0"/>
              <w:rPr>
                <w:sz w:val="20"/>
                <w:szCs w:val="20"/>
                <w:color w:val="auto"/>
              </w:rPr>
            </w:pPr>
            <w:r>
              <w:rPr>
                <w:rFonts w:ascii="Arial" w:cs="Arial" w:eastAsia="Arial" w:hAnsi="Arial"/>
                <w:sz w:val="18"/>
                <w:szCs w:val="18"/>
                <w:b w:val="1"/>
                <w:bCs w:val="1"/>
                <w:color w:val="auto"/>
              </w:rPr>
              <w:t>Q2-2017</w:t>
            </w:r>
          </w:p>
        </w:tc>
        <w:tc>
          <w:tcPr>
            <w:tcW w:w="158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Q2-2018</w:t>
            </w:r>
          </w:p>
        </w:tc>
        <w:tc>
          <w:tcPr>
            <w:tcW w:w="1440" w:type="dxa"/>
            <w:vAlign w:val="bottom"/>
            <w:gridSpan w:val="2"/>
          </w:tcPr>
          <w:p>
            <w:pPr>
              <w:ind w:left="220"/>
              <w:spacing w:after="0"/>
              <w:rPr>
                <w:sz w:val="20"/>
                <w:szCs w:val="20"/>
                <w:color w:val="auto"/>
              </w:rPr>
            </w:pPr>
            <w:r>
              <w:rPr>
                <w:rFonts w:ascii="Arial" w:cs="Arial" w:eastAsia="Arial" w:hAnsi="Arial"/>
                <w:sz w:val="18"/>
                <w:szCs w:val="18"/>
                <w:b w:val="1"/>
                <w:bCs w:val="1"/>
                <w:color w:val="auto"/>
              </w:rPr>
              <w:t>YTD 2017</w:t>
            </w:r>
          </w:p>
        </w:tc>
        <w:tc>
          <w:tcPr>
            <w:tcW w:w="1360" w:type="dxa"/>
            <w:vAlign w:val="bottom"/>
            <w:gridSpan w:val="3"/>
          </w:tcPr>
          <w:p>
            <w:pPr>
              <w:ind w:left="240"/>
              <w:spacing w:after="0"/>
              <w:rPr>
                <w:sz w:val="20"/>
                <w:szCs w:val="20"/>
                <w:color w:val="auto"/>
              </w:rPr>
            </w:pPr>
            <w:r>
              <w:rPr>
                <w:rFonts w:ascii="Arial" w:cs="Arial" w:eastAsia="Arial" w:hAnsi="Arial"/>
                <w:sz w:val="18"/>
                <w:szCs w:val="18"/>
                <w:b w:val="1"/>
                <w:bCs w:val="1"/>
                <w:color w:val="auto"/>
              </w:rPr>
              <w:t>YTD 2018</w:t>
            </w:r>
          </w:p>
        </w:tc>
      </w:tr>
      <w:tr>
        <w:trPr>
          <w:trHeight w:val="210"/>
        </w:trPr>
        <w:tc>
          <w:tcPr>
            <w:tcW w:w="5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Search</w:t>
            </w: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15,670</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19,769</w:t>
            </w:r>
          </w:p>
        </w:tc>
        <w:tc>
          <w:tcPr>
            <w:tcW w:w="3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31,063</w:t>
            </w:r>
          </w:p>
        </w:tc>
        <w:tc>
          <w:tcPr>
            <w:tcW w:w="2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39,985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580" w:type="dxa"/>
            <w:vAlign w:val="bottom"/>
            <w:gridSpan w:val="2"/>
          </w:tcPr>
          <w:p>
            <w:pPr>
              <w:spacing w:after="0"/>
              <w:rPr>
                <w:sz w:val="20"/>
                <w:szCs w:val="20"/>
                <w:color w:val="auto"/>
              </w:rPr>
            </w:pPr>
            <w:r>
              <w:rPr>
                <w:rFonts w:ascii="Arial" w:cs="Arial" w:eastAsia="Arial" w:hAnsi="Arial"/>
                <w:sz w:val="18"/>
                <w:szCs w:val="18"/>
                <w:color w:val="auto"/>
              </w:rPr>
              <w:t>Advertising</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8,410</w:t>
            </w: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13,718</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15,618</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26,634</w:t>
            </w:r>
          </w:p>
        </w:tc>
        <w:tc>
          <w:tcPr>
            <w:tcW w:w="80" w:type="dxa"/>
            <w:vAlign w:val="bottom"/>
          </w:tcPr>
          <w:p>
            <w:pPr>
              <w:spacing w:after="0"/>
              <w:rPr>
                <w:sz w:val="18"/>
                <w:szCs w:val="18"/>
                <w:color w:val="auto"/>
              </w:rPr>
            </w:pPr>
          </w:p>
        </w:tc>
      </w:tr>
      <w:tr>
        <w:trPr>
          <w:trHeight w:val="270"/>
        </w:trPr>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Technology Licensing / Other</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2,411</w:t>
            </w:r>
          </w:p>
        </w:tc>
        <w:tc>
          <w:tcPr>
            <w:tcW w:w="220" w:type="dxa"/>
            <w:vAlign w:val="bottom"/>
            <w:shd w:val="clear" w:color="auto" w:fill="CCEEFF"/>
          </w:tcPr>
          <w:p>
            <w:pPr>
              <w:spacing w:after="0"/>
              <w:rPr>
                <w:sz w:val="23"/>
                <w:szCs w:val="23"/>
                <w:color w:val="auto"/>
              </w:rPr>
            </w:pPr>
          </w:p>
        </w:tc>
        <w:tc>
          <w:tcPr>
            <w:tcW w:w="1580" w:type="dxa"/>
            <w:vAlign w:val="bottom"/>
            <w:gridSpan w:val="2"/>
            <w:shd w:val="clear" w:color="auto" w:fill="CCEEFF"/>
          </w:tcPr>
          <w:p>
            <w:pPr>
              <w:jc w:val="right"/>
              <w:ind w:right="180"/>
              <w:spacing w:after="0" w:line="269" w:lineRule="exact"/>
              <w:rPr>
                <w:sz w:val="20"/>
                <w:szCs w:val="20"/>
                <w:color w:val="auto"/>
              </w:rPr>
            </w:pPr>
            <w:r>
              <w:rPr>
                <w:rFonts w:ascii="Arial" w:cs="Arial" w:eastAsia="Arial" w:hAnsi="Arial"/>
                <w:sz w:val="18"/>
                <w:szCs w:val="18"/>
                <w:color w:val="auto"/>
              </w:rPr>
              <w:t>6,342</w:t>
            </w:r>
            <w:r>
              <w:rPr>
                <w:rFonts w:ascii="Arial" w:cs="Arial" w:eastAsia="Arial" w:hAnsi="Arial"/>
                <w:sz w:val="30"/>
                <w:szCs w:val="30"/>
                <w:color w:val="auto"/>
                <w:vertAlign w:val="superscript"/>
              </w:rPr>
              <w:t>(1)</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5,286</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12,655</w:t>
            </w:r>
          </w:p>
        </w:tc>
        <w:tc>
          <w:tcPr>
            <w:tcW w:w="80" w:type="dxa"/>
            <w:vAlign w:val="bottom"/>
            <w:shd w:val="clear" w:color="auto" w:fill="CCEEFF"/>
          </w:tcPr>
          <w:p>
            <w:pPr>
              <w:spacing w:after="0"/>
              <w:rPr>
                <w:sz w:val="23"/>
                <w:szCs w:val="23"/>
                <w:color w:val="auto"/>
              </w:rPr>
            </w:pPr>
          </w:p>
        </w:tc>
      </w:tr>
      <w:tr>
        <w:trPr>
          <w:trHeight w:val="250"/>
        </w:trPr>
        <w:tc>
          <w:tcPr>
            <w:tcW w:w="558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26,491</w:t>
            </w:r>
          </w:p>
        </w:tc>
        <w:tc>
          <w:tcPr>
            <w:tcW w:w="220" w:type="dxa"/>
            <w:vAlign w:val="bottom"/>
          </w:tcPr>
          <w:p>
            <w:pPr>
              <w:spacing w:after="0"/>
              <w:rPr>
                <w:sz w:val="21"/>
                <w:szCs w:val="21"/>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39,828</w:t>
            </w:r>
          </w:p>
        </w:tc>
        <w:tc>
          <w:tcPr>
            <w:tcW w:w="340" w:type="dxa"/>
            <w:vAlign w:val="bottom"/>
          </w:tcPr>
          <w:p>
            <w:pPr>
              <w:spacing w:after="0"/>
              <w:rPr>
                <w:sz w:val="21"/>
                <w:szCs w:val="21"/>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51,966</w:t>
            </w:r>
          </w:p>
        </w:tc>
        <w:tc>
          <w:tcPr>
            <w:tcW w:w="200" w:type="dxa"/>
            <w:vAlign w:val="bottom"/>
          </w:tcPr>
          <w:p>
            <w:pPr>
              <w:spacing w:after="0"/>
              <w:rPr>
                <w:sz w:val="21"/>
                <w:szCs w:val="21"/>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79,274</w:t>
            </w:r>
          </w:p>
        </w:tc>
        <w:tc>
          <w:tcPr>
            <w:tcW w:w="2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r>
      <w:tr>
        <w:trPr>
          <w:trHeight w:val="20"/>
        </w:trPr>
        <w:tc>
          <w:tcPr>
            <w:tcW w:w="5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7"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2"/>
          <w:szCs w:val="12"/>
          <w:color w:val="auto"/>
        </w:rPr>
      </w:pPr>
      <w:r>
        <w:rPr>
          <w:rFonts w:ascii="Arial" w:cs="Arial" w:eastAsia="Arial" w:hAnsi="Arial"/>
          <w:sz w:val="14"/>
          <w:szCs w:val="14"/>
          <w:color w:val="auto"/>
        </w:rPr>
        <w:t>Includes US$1.5 million revenue from a perpetual license agreement with 360 Mobile Security, a related party.</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Personnel expenses by type</w:t>
            </w:r>
          </w:p>
        </w:tc>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[Numbers in US$ thousands]</w:t>
            </w:r>
          </w:p>
        </w:tc>
        <w:tc>
          <w:tcPr>
            <w:tcW w:w="15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Q2-2017</w:t>
            </w:r>
          </w:p>
        </w:tc>
        <w:tc>
          <w:tcPr>
            <w:tcW w:w="1500" w:type="dxa"/>
            <w:vAlign w:val="bottom"/>
            <w:gridSpan w:val="2"/>
          </w:tcPr>
          <w:p>
            <w:pPr>
              <w:ind w:left="320"/>
              <w:spacing w:after="0"/>
              <w:rPr>
                <w:sz w:val="20"/>
                <w:szCs w:val="20"/>
                <w:color w:val="auto"/>
              </w:rPr>
            </w:pPr>
            <w:r>
              <w:rPr>
                <w:rFonts w:ascii="Arial" w:cs="Arial" w:eastAsia="Arial" w:hAnsi="Arial"/>
                <w:sz w:val="18"/>
                <w:szCs w:val="18"/>
                <w:b w:val="1"/>
                <w:bCs w:val="1"/>
                <w:color w:val="auto"/>
              </w:rPr>
              <w:t>Q2-2018</w:t>
            </w:r>
          </w:p>
        </w:tc>
        <w:tc>
          <w:tcPr>
            <w:tcW w:w="1440" w:type="dxa"/>
            <w:vAlign w:val="bottom"/>
            <w:gridSpan w:val="2"/>
          </w:tcPr>
          <w:p>
            <w:pPr>
              <w:ind w:left="220"/>
              <w:spacing w:after="0"/>
              <w:rPr>
                <w:sz w:val="20"/>
                <w:szCs w:val="20"/>
                <w:color w:val="auto"/>
              </w:rPr>
            </w:pPr>
            <w:r>
              <w:rPr>
                <w:rFonts w:ascii="Arial" w:cs="Arial" w:eastAsia="Arial" w:hAnsi="Arial"/>
                <w:sz w:val="18"/>
                <w:szCs w:val="18"/>
                <w:b w:val="1"/>
                <w:bCs w:val="1"/>
                <w:color w:val="auto"/>
              </w:rPr>
              <w:t>YTD 2017</w:t>
            </w:r>
          </w:p>
        </w:tc>
        <w:tc>
          <w:tcPr>
            <w:tcW w:w="1360" w:type="dxa"/>
            <w:vAlign w:val="bottom"/>
            <w:gridSpan w:val="3"/>
          </w:tcPr>
          <w:p>
            <w:pPr>
              <w:ind w:left="240"/>
              <w:spacing w:after="0"/>
              <w:rPr>
                <w:sz w:val="20"/>
                <w:szCs w:val="20"/>
                <w:color w:val="auto"/>
              </w:rPr>
            </w:pPr>
            <w:r>
              <w:rPr>
                <w:rFonts w:ascii="Arial" w:cs="Arial" w:eastAsia="Arial" w:hAnsi="Arial"/>
                <w:sz w:val="18"/>
                <w:szCs w:val="18"/>
                <w:b w:val="1"/>
                <w:bCs w:val="1"/>
                <w:color w:val="auto"/>
              </w:rPr>
              <w:t>YTD 2018</w:t>
            </w:r>
          </w:p>
        </w:tc>
        <w:tc>
          <w:tcPr>
            <w:tcW w:w="0" w:type="dxa"/>
            <w:vAlign w:val="bottom"/>
          </w:tcPr>
          <w:p>
            <w:pPr>
              <w:spacing w:after="0"/>
              <w:rPr>
                <w:sz w:val="1"/>
                <w:szCs w:val="1"/>
                <w:color w:val="auto"/>
              </w:rPr>
            </w:pPr>
          </w:p>
        </w:tc>
      </w:tr>
      <w:tr>
        <w:trPr>
          <w:trHeight w:val="210"/>
        </w:trPr>
        <w:tc>
          <w:tcPr>
            <w:tcW w:w="5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Personnel expenses excluding share-based remuneration</w:t>
            </w:r>
          </w:p>
        </w:tc>
        <w:tc>
          <w:tcPr>
            <w:tcW w:w="1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8,338</w:t>
            </w:r>
          </w:p>
        </w:tc>
        <w:tc>
          <w:tcPr>
            <w:tcW w:w="24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9,138</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17,064</w:t>
            </w:r>
          </w:p>
        </w:tc>
        <w:tc>
          <w:tcPr>
            <w:tcW w:w="2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17,799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Share-based remuneration, including related social security costs</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2,807</w:t>
            </w:r>
          </w:p>
        </w:tc>
        <w:tc>
          <w:tcPr>
            <w:tcW w:w="24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22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2,807</w:t>
            </w:r>
          </w:p>
        </w:tc>
        <w:tc>
          <w:tcPr>
            <w:tcW w:w="20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2,667</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Personnel expenses including share-based remuneration</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11,145</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9,356</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19,871</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20,466</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Other operating expenses</w:t>
            </w: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5620" w:type="dxa"/>
            <w:vAlign w:val="bottom"/>
            <w:gridSpan w:val="2"/>
            <w:vMerge w:val="continue"/>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[Numbers in US$ thousands]</w:t>
            </w:r>
          </w:p>
        </w:tc>
        <w:tc>
          <w:tcPr>
            <w:tcW w:w="15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Q2-2017</w:t>
            </w:r>
          </w:p>
        </w:tc>
        <w:tc>
          <w:tcPr>
            <w:tcW w:w="1500" w:type="dxa"/>
            <w:vAlign w:val="bottom"/>
            <w:gridSpan w:val="2"/>
          </w:tcPr>
          <w:p>
            <w:pPr>
              <w:ind w:left="320"/>
              <w:spacing w:after="0"/>
              <w:rPr>
                <w:sz w:val="20"/>
                <w:szCs w:val="20"/>
                <w:color w:val="auto"/>
              </w:rPr>
            </w:pPr>
            <w:r>
              <w:rPr>
                <w:rFonts w:ascii="Arial" w:cs="Arial" w:eastAsia="Arial" w:hAnsi="Arial"/>
                <w:sz w:val="18"/>
                <w:szCs w:val="18"/>
                <w:b w:val="1"/>
                <w:bCs w:val="1"/>
                <w:color w:val="auto"/>
              </w:rPr>
              <w:t>Q2-2018</w:t>
            </w:r>
          </w:p>
        </w:tc>
        <w:tc>
          <w:tcPr>
            <w:tcW w:w="1440" w:type="dxa"/>
            <w:vAlign w:val="bottom"/>
            <w:gridSpan w:val="2"/>
          </w:tcPr>
          <w:p>
            <w:pPr>
              <w:ind w:left="220"/>
              <w:spacing w:after="0"/>
              <w:rPr>
                <w:sz w:val="20"/>
                <w:szCs w:val="20"/>
                <w:color w:val="auto"/>
              </w:rPr>
            </w:pPr>
            <w:r>
              <w:rPr>
                <w:rFonts w:ascii="Arial" w:cs="Arial" w:eastAsia="Arial" w:hAnsi="Arial"/>
                <w:sz w:val="18"/>
                <w:szCs w:val="18"/>
                <w:b w:val="1"/>
                <w:bCs w:val="1"/>
                <w:color w:val="auto"/>
              </w:rPr>
              <w:t>YTD 2017</w:t>
            </w:r>
          </w:p>
        </w:tc>
        <w:tc>
          <w:tcPr>
            <w:tcW w:w="1360" w:type="dxa"/>
            <w:vAlign w:val="bottom"/>
            <w:gridSpan w:val="3"/>
          </w:tcPr>
          <w:p>
            <w:pPr>
              <w:ind w:left="240"/>
              <w:spacing w:after="0"/>
              <w:rPr>
                <w:sz w:val="20"/>
                <w:szCs w:val="20"/>
                <w:color w:val="auto"/>
              </w:rPr>
            </w:pPr>
            <w:r>
              <w:rPr>
                <w:rFonts w:ascii="Arial" w:cs="Arial" w:eastAsia="Arial" w:hAnsi="Arial"/>
                <w:sz w:val="18"/>
                <w:szCs w:val="18"/>
                <w:b w:val="1"/>
                <w:bCs w:val="1"/>
                <w:color w:val="auto"/>
              </w:rPr>
              <w:t>YTD 2018</w:t>
            </w:r>
          </w:p>
        </w:tc>
        <w:tc>
          <w:tcPr>
            <w:tcW w:w="0" w:type="dxa"/>
            <w:vAlign w:val="bottom"/>
          </w:tcPr>
          <w:p>
            <w:pPr>
              <w:spacing w:after="0"/>
              <w:rPr>
                <w:sz w:val="1"/>
                <w:szCs w:val="1"/>
                <w:color w:val="auto"/>
              </w:rPr>
            </w:pPr>
          </w:p>
        </w:tc>
      </w:tr>
      <w:tr>
        <w:trPr>
          <w:trHeight w:val="210"/>
        </w:trPr>
        <w:tc>
          <w:tcPr>
            <w:tcW w:w="5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Marketing and distribution</w:t>
            </w:r>
          </w:p>
        </w:tc>
        <w:tc>
          <w:tcPr>
            <w:tcW w:w="1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6,553</w:t>
            </w:r>
          </w:p>
        </w:tc>
        <w:tc>
          <w:tcPr>
            <w:tcW w:w="24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7,838</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10,244</w:t>
            </w:r>
          </w:p>
        </w:tc>
        <w:tc>
          <w:tcPr>
            <w:tcW w:w="2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15,176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Hosting</w:t>
            </w:r>
          </w:p>
        </w:tc>
        <w:tc>
          <w:tcPr>
            <w:tcW w:w="1260" w:type="dxa"/>
            <w:vAlign w:val="bottom"/>
          </w:tcPr>
          <w:p>
            <w:pPr>
              <w:jc w:val="right"/>
              <w:spacing w:after="0"/>
              <w:rPr>
                <w:sz w:val="20"/>
                <w:szCs w:val="20"/>
                <w:color w:val="auto"/>
              </w:rPr>
            </w:pPr>
            <w:r>
              <w:rPr>
                <w:rFonts w:ascii="Arial" w:cs="Arial" w:eastAsia="Arial" w:hAnsi="Arial"/>
                <w:sz w:val="18"/>
                <w:szCs w:val="18"/>
                <w:color w:val="auto"/>
              </w:rPr>
              <w:t>3,576</w:t>
            </w:r>
          </w:p>
        </w:tc>
        <w:tc>
          <w:tcPr>
            <w:tcW w:w="24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2,561</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6,867</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5,178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Audit, legal and other advisory services</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767</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2,631</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1,465</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4,879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Software license fees</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276</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399</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740</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891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Rent and other office expense</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w:t>
            </w:r>
          </w:p>
        </w:tc>
        <w:tc>
          <w:tcPr>
            <w:tcW w:w="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1,214</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1,871</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2,336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Travel</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447</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510</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919</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1,030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1,142</w:t>
            </w:r>
          </w:p>
        </w:tc>
        <w:tc>
          <w:tcPr>
            <w:tcW w:w="240" w:type="dxa"/>
            <w:vAlign w:val="bottom"/>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2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1,998</w:t>
            </w:r>
          </w:p>
        </w:tc>
        <w:tc>
          <w:tcPr>
            <w:tcW w:w="200" w:type="dxa"/>
            <w:vAlign w:val="bottom"/>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13,795</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15,224</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24,105</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29,717</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gridSpan w:val="4"/>
          </w:tcPr>
          <w:p>
            <w:pPr>
              <w:spacing w:after="0"/>
              <w:rPr>
                <w:sz w:val="20"/>
                <w:szCs w:val="20"/>
                <w:color w:val="auto"/>
              </w:rPr>
            </w:pPr>
            <w:r>
              <w:rPr>
                <w:rFonts w:ascii="Arial" w:cs="Arial" w:eastAsia="Arial" w:hAnsi="Arial"/>
                <w:sz w:val="18"/>
                <w:szCs w:val="18"/>
                <w:b w:val="1"/>
                <w:bCs w:val="1"/>
                <w:color w:val="auto"/>
              </w:rPr>
              <w:t>Non-IFRS financial measures</w:t>
            </w:r>
          </w:p>
        </w:tc>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Q2-2017</w:t>
            </w:r>
          </w:p>
        </w:tc>
        <w:tc>
          <w:tcPr>
            <w:tcW w:w="15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Q2-2018</w:t>
            </w:r>
          </w:p>
        </w:tc>
        <w:tc>
          <w:tcPr>
            <w:tcW w:w="14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YTD-2017</w:t>
            </w:r>
          </w:p>
        </w:tc>
        <w:tc>
          <w:tcPr>
            <w:tcW w:w="13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YTD-2018</w:t>
            </w:r>
          </w:p>
        </w:tc>
        <w:tc>
          <w:tcPr>
            <w:tcW w:w="0" w:type="dxa"/>
            <w:vAlign w:val="bottom"/>
          </w:tcPr>
          <w:p>
            <w:pPr>
              <w:spacing w:after="0"/>
              <w:rPr>
                <w:sz w:val="1"/>
                <w:szCs w:val="1"/>
                <w:color w:val="auto"/>
              </w:rPr>
            </w:pPr>
          </w:p>
        </w:tc>
      </w:tr>
      <w:tr>
        <w:trPr>
          <w:trHeight w:val="234"/>
        </w:trPr>
        <w:tc>
          <w:tcPr>
            <w:tcW w:w="5620" w:type="dxa"/>
            <w:vAlign w:val="bottom"/>
            <w:gridSpan w:val="4"/>
          </w:tcPr>
          <w:p>
            <w:pPr>
              <w:spacing w:after="0"/>
              <w:rPr>
                <w:sz w:val="20"/>
                <w:szCs w:val="20"/>
                <w:color w:val="auto"/>
              </w:rPr>
            </w:pPr>
            <w:r>
              <w:rPr>
                <w:rFonts w:ascii="Arial" w:cs="Arial" w:eastAsia="Arial" w:hAnsi="Arial"/>
                <w:sz w:val="18"/>
                <w:szCs w:val="18"/>
                <w:b w:val="1"/>
                <w:bCs w:val="1"/>
                <w:color w:val="auto"/>
              </w:rPr>
              <w:t>[Numbers in US$ thousands]</w:t>
            </w:r>
          </w:p>
        </w:tc>
        <w:tc>
          <w:tcPr>
            <w:tcW w:w="15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(Unaudited)</w:t>
            </w:r>
          </w:p>
        </w:tc>
        <w:tc>
          <w:tcPr>
            <w:tcW w:w="15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(Unaudited)</w:t>
            </w:r>
          </w:p>
        </w:tc>
        <w:tc>
          <w:tcPr>
            <w:tcW w:w="14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(Unaudited)</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(Unaudited)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6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92"/>
              </w:rPr>
              <w:t>Reconciliation of net income (loss) to adjusted EBITDA</w:t>
            </w:r>
          </w:p>
        </w:tc>
        <w:tc>
          <w:tcPr>
            <w:tcW w:w="1540" w:type="dxa"/>
            <w:vAlign w:val="bottom"/>
            <w:tcBorders>
              <w:bottom w:val="single" w:sz="8" w:color="CCEEFF"/>
            </w:tcBorders>
            <w:gridSpan w:val="2"/>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3"/>
          </w:tcPr>
          <w:p>
            <w:pPr>
              <w:spacing w:after="0"/>
              <w:rPr>
                <w:sz w:val="20"/>
                <w:szCs w:val="20"/>
                <w:color w:val="auto"/>
              </w:rPr>
            </w:pPr>
            <w:r>
              <w:rPr>
                <w:rFonts w:ascii="Arial" w:cs="Arial" w:eastAsia="Arial" w:hAnsi="Arial"/>
                <w:sz w:val="18"/>
                <w:szCs w:val="18"/>
                <w:b w:val="1"/>
                <w:bCs w:val="1"/>
                <w:color w:val="auto"/>
              </w:rPr>
              <w:t>Net income (loss)</w:t>
            </w:r>
          </w:p>
        </w:tc>
        <w:tc>
          <w:tcPr>
            <w:tcW w:w="15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(2,551)</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7,411</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(2,719)</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14,030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Add: Income tax expense (benefit)</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697</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2,535</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938</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3"/>
          </w:tcPr>
          <w:p>
            <w:pPr>
              <w:spacing w:after="0"/>
              <w:rPr>
                <w:sz w:val="20"/>
                <w:szCs w:val="20"/>
                <w:color w:val="auto"/>
              </w:rPr>
            </w:pPr>
            <w:r>
              <w:rPr>
                <w:rFonts w:ascii="Arial" w:cs="Arial" w:eastAsia="Arial" w:hAnsi="Arial"/>
                <w:sz w:val="18"/>
                <w:szCs w:val="18"/>
                <w:color w:val="auto"/>
              </w:rPr>
              <w:t>Add: Total net financial loss (income)</w:t>
            </w: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(895)</w:t>
            </w: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(91)</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(531)</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Add: Share of net loss (income) of associates and joint ventures</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218</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615</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573</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3"/>
          </w:tcPr>
          <w:p>
            <w:pPr>
              <w:spacing w:after="0"/>
              <w:rPr>
                <w:sz w:val="20"/>
                <w:szCs w:val="20"/>
                <w:color w:val="auto"/>
              </w:rPr>
            </w:pPr>
            <w:r>
              <w:rPr>
                <w:rFonts w:ascii="Arial" w:cs="Arial" w:eastAsia="Arial" w:hAnsi="Arial"/>
                <w:sz w:val="18"/>
                <w:szCs w:val="18"/>
                <w:color w:val="auto"/>
              </w:rPr>
              <w:t>Add: Restructuring costs</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370</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2,111</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Add: Depreciation and amortization</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3,605</w:t>
            </w:r>
          </w:p>
        </w:tc>
        <w:tc>
          <w:tcPr>
            <w:tcW w:w="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3,379</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7,406</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3"/>
          </w:tcPr>
          <w:p>
            <w:pPr>
              <w:spacing w:after="0"/>
              <w:rPr>
                <w:sz w:val="20"/>
                <w:szCs w:val="20"/>
                <w:color w:val="auto"/>
              </w:rPr>
            </w:pPr>
            <w:r>
              <w:rPr>
                <w:rFonts w:ascii="Arial" w:cs="Arial" w:eastAsia="Arial" w:hAnsi="Arial"/>
                <w:sz w:val="18"/>
                <w:szCs w:val="18"/>
                <w:color w:val="auto"/>
              </w:rPr>
              <w:t>Add: Share-based remuneration</w:t>
            </w:r>
          </w:p>
        </w:tc>
        <w:tc>
          <w:tcPr>
            <w:tcW w:w="1260" w:type="dxa"/>
            <w:vAlign w:val="bottom"/>
          </w:tcPr>
          <w:p>
            <w:pPr>
              <w:jc w:val="right"/>
              <w:spacing w:after="0"/>
              <w:rPr>
                <w:sz w:val="20"/>
                <w:szCs w:val="20"/>
                <w:color w:val="auto"/>
              </w:rPr>
            </w:pPr>
            <w:r>
              <w:rPr>
                <w:rFonts w:ascii="Arial" w:cs="Arial" w:eastAsia="Arial" w:hAnsi="Arial"/>
                <w:sz w:val="18"/>
                <w:szCs w:val="18"/>
                <w:color w:val="auto"/>
              </w:rPr>
              <w:t>2,807</w:t>
            </w:r>
          </w:p>
        </w:tc>
        <w:tc>
          <w:tcPr>
            <w:tcW w:w="24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218</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2,807</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Add: Expensed IPO related costs</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2,110</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gridSpan w:val="3"/>
          </w:tcPr>
          <w:p>
            <w:pPr>
              <w:spacing w:after="0"/>
              <w:rPr>
                <w:sz w:val="20"/>
                <w:szCs w:val="20"/>
                <w:color w:val="auto"/>
              </w:rPr>
            </w:pPr>
            <w:r>
              <w:rPr>
                <w:rFonts w:ascii="Arial" w:cs="Arial" w:eastAsia="Arial" w:hAnsi="Arial"/>
                <w:sz w:val="18"/>
                <w:szCs w:val="18"/>
                <w:color w:val="auto"/>
              </w:rPr>
              <w:t>Less: Other income</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4,250</w:t>
            </w:r>
          </w:p>
        </w:tc>
        <w:tc>
          <w:tcPr>
            <w:tcW w:w="24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16,175</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10,586</w:t>
            </w:r>
          </w:p>
        </w:tc>
        <w:tc>
          <w:tcPr>
            <w:tcW w:w="2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31,788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60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Reconciliation of net income (loss) to adjusted net income</w:t>
            </w:r>
          </w:p>
        </w:tc>
        <w:tc>
          <w:tcPr>
            <w:tcW w:w="1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Net income (loss)</w:t>
            </w:r>
          </w:p>
        </w:tc>
        <w:tc>
          <w:tcPr>
            <w:tcW w:w="142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gridSpan w:val="2"/>
          </w:tcPr>
          <w:p>
            <w:pPr>
              <w:jc w:val="right"/>
              <w:ind w:right="180"/>
              <w:spacing w:after="0"/>
              <w:rPr>
                <w:sz w:val="20"/>
                <w:szCs w:val="20"/>
                <w:color w:val="auto"/>
              </w:rPr>
            </w:pPr>
            <w:r>
              <w:rPr>
                <w:rFonts w:ascii="Arial" w:cs="Arial" w:eastAsia="Arial" w:hAnsi="Arial"/>
                <w:sz w:val="18"/>
                <w:szCs w:val="18"/>
                <w:b w:val="1"/>
                <w:bCs w:val="1"/>
                <w:color w:val="auto"/>
              </w:rPr>
              <w:t>(2,551)</w:t>
            </w:r>
          </w:p>
        </w:tc>
        <w:tc>
          <w:tcPr>
            <w:tcW w:w="150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8"/>
                <w:szCs w:val="18"/>
                <w:b w:val="1"/>
                <w:bCs w:val="1"/>
                <w:color w:val="auto"/>
              </w:rPr>
              <w:t>7,411</w:t>
            </w:r>
          </w:p>
        </w:tc>
        <w:tc>
          <w:tcPr>
            <w:tcW w:w="1440" w:type="dxa"/>
            <w:vAlign w:val="bottom"/>
            <w:tcBorders>
              <w:top w:val="single" w:sz="8" w:color="CCEEFF"/>
            </w:tcBorders>
            <w:gridSpan w:val="2"/>
          </w:tcPr>
          <w:p>
            <w:pPr>
              <w:jc w:val="right"/>
              <w:ind w:right="140"/>
              <w:spacing w:after="0"/>
              <w:rPr>
                <w:sz w:val="20"/>
                <w:szCs w:val="20"/>
                <w:color w:val="auto"/>
              </w:rPr>
            </w:pPr>
            <w:r>
              <w:rPr>
                <w:rFonts w:ascii="Arial" w:cs="Arial" w:eastAsia="Arial" w:hAnsi="Arial"/>
                <w:sz w:val="18"/>
                <w:szCs w:val="18"/>
                <w:b w:val="1"/>
                <w:bCs w:val="1"/>
                <w:color w:val="auto"/>
              </w:rPr>
              <w:t>(2,719)</w:t>
            </w:r>
          </w:p>
        </w:tc>
        <w:tc>
          <w:tcPr>
            <w:tcW w:w="136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b w:val="1"/>
                <w:bCs w:val="1"/>
                <w:color w:val="auto"/>
              </w:rPr>
              <w:t>14,030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Add: Share-based remuneration</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2,807</w:t>
            </w:r>
          </w:p>
        </w:tc>
        <w:tc>
          <w:tcPr>
            <w:tcW w:w="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218</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2,807</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3"/>
          </w:tcPr>
          <w:p>
            <w:pPr>
              <w:spacing w:after="0"/>
              <w:rPr>
                <w:sz w:val="20"/>
                <w:szCs w:val="20"/>
                <w:color w:val="auto"/>
              </w:rPr>
            </w:pPr>
            <w:r>
              <w:rPr>
                <w:rFonts w:ascii="Arial" w:cs="Arial" w:eastAsia="Arial" w:hAnsi="Arial"/>
                <w:sz w:val="18"/>
                <w:szCs w:val="18"/>
                <w:color w:val="auto"/>
              </w:rPr>
              <w:t>Add: Amortization of acquired intangible assets</w:t>
            </w:r>
          </w:p>
        </w:tc>
        <w:tc>
          <w:tcPr>
            <w:tcW w:w="1260" w:type="dxa"/>
            <w:vAlign w:val="bottom"/>
          </w:tcPr>
          <w:p>
            <w:pPr>
              <w:jc w:val="right"/>
              <w:spacing w:after="0"/>
              <w:rPr>
                <w:sz w:val="20"/>
                <w:szCs w:val="20"/>
                <w:color w:val="auto"/>
              </w:rPr>
            </w:pPr>
            <w:r>
              <w:rPr>
                <w:rFonts w:ascii="Arial" w:cs="Arial" w:eastAsia="Arial" w:hAnsi="Arial"/>
                <w:sz w:val="18"/>
                <w:szCs w:val="18"/>
                <w:color w:val="auto"/>
              </w:rPr>
              <w:t>1,280</w:t>
            </w:r>
          </w:p>
        </w:tc>
        <w:tc>
          <w:tcPr>
            <w:tcW w:w="24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1,280</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2,560</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Add: Expensed IPO-related costs</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2,110</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2,110</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600" w:type="dxa"/>
            <w:vAlign w:val="bottom"/>
            <w:gridSpan w:val="3"/>
          </w:tcPr>
          <w:p>
            <w:pPr>
              <w:spacing w:after="0" w:line="269" w:lineRule="exact"/>
              <w:rPr>
                <w:sz w:val="20"/>
                <w:szCs w:val="20"/>
                <w:color w:val="auto"/>
              </w:rPr>
            </w:pPr>
            <w:r>
              <w:rPr>
                <w:rFonts w:ascii="Arial" w:cs="Arial" w:eastAsia="Arial" w:hAnsi="Arial"/>
                <w:sz w:val="18"/>
                <w:szCs w:val="18"/>
                <w:color w:val="auto"/>
              </w:rPr>
              <w:t>Income tax adjustment</w:t>
            </w:r>
            <w:r>
              <w:rPr>
                <w:rFonts w:ascii="Arial" w:cs="Arial" w:eastAsia="Arial" w:hAnsi="Arial"/>
                <w:sz w:val="30"/>
                <w:szCs w:val="30"/>
                <w:color w:val="auto"/>
                <w:vertAlign w:val="superscript"/>
              </w:rPr>
              <w:t>(1)</w:t>
            </w: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(484)</w:t>
            </w: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(235)</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(815)</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(713)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Adjusted net income</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1,052</w:t>
            </w:r>
          </w:p>
        </w:tc>
        <w:tc>
          <w:tcPr>
            <w:tcW w:w="24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10,783</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1,833</w:t>
            </w:r>
          </w:p>
        </w:tc>
        <w:tc>
          <w:tcPr>
            <w:tcW w:w="2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20,653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5600" w:type="dxa"/>
            <w:vAlign w:val="bottom"/>
            <w:gridSpan w:val="3"/>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8"/>
              </w:rPr>
              <w:t>Weighted average number of ordinary shares outstanding for non-</w:t>
            </w:r>
          </w:p>
        </w:tc>
        <w:tc>
          <w:tcPr>
            <w:tcW w:w="1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IFRS measures</w:t>
            </w:r>
          </w:p>
        </w:tc>
        <w:tc>
          <w:tcPr>
            <w:tcW w:w="12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3"/>
          </w:tcPr>
          <w:p>
            <w:pPr>
              <w:spacing w:after="0"/>
              <w:rPr>
                <w:sz w:val="20"/>
                <w:szCs w:val="20"/>
                <w:color w:val="auto"/>
              </w:rPr>
            </w:pPr>
            <w:r>
              <w:rPr>
                <w:rFonts w:ascii="Arial" w:cs="Arial" w:eastAsia="Arial" w:hAnsi="Arial"/>
                <w:sz w:val="18"/>
                <w:szCs w:val="18"/>
                <w:color w:val="auto"/>
              </w:rPr>
              <w:t>Basic, millions</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190.25</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190.25</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190.25</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190.25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Diluted, millions</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192.21</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196.62</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191.23</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195.98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Adjusted net income per ordinary share</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3"/>
          </w:tcPr>
          <w:p>
            <w:pPr>
              <w:spacing w:after="0"/>
              <w:rPr>
                <w:sz w:val="20"/>
                <w:szCs w:val="20"/>
                <w:color w:val="auto"/>
              </w:rPr>
            </w:pPr>
            <w:r>
              <w:rPr>
                <w:rFonts w:ascii="Arial" w:cs="Arial" w:eastAsia="Arial" w:hAnsi="Arial"/>
                <w:sz w:val="18"/>
                <w:szCs w:val="18"/>
                <w:color w:val="auto"/>
              </w:rPr>
              <w:t>Basic, US$</w:t>
            </w:r>
          </w:p>
        </w:tc>
        <w:tc>
          <w:tcPr>
            <w:tcW w:w="1260" w:type="dxa"/>
            <w:vAlign w:val="bottom"/>
          </w:tcPr>
          <w:p>
            <w:pPr>
              <w:jc w:val="right"/>
              <w:spacing w:after="0"/>
              <w:rPr>
                <w:sz w:val="20"/>
                <w:szCs w:val="20"/>
                <w:color w:val="auto"/>
              </w:rPr>
            </w:pPr>
            <w:r>
              <w:rPr>
                <w:rFonts w:ascii="Arial" w:cs="Arial" w:eastAsia="Arial" w:hAnsi="Arial"/>
                <w:sz w:val="18"/>
                <w:szCs w:val="18"/>
                <w:color w:val="auto"/>
              </w:rPr>
              <w:t>0.006</w:t>
            </w:r>
          </w:p>
        </w:tc>
        <w:tc>
          <w:tcPr>
            <w:tcW w:w="24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0.057</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0.010</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0.109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Diluted, US$</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0.005</w:t>
            </w:r>
          </w:p>
        </w:tc>
        <w:tc>
          <w:tcPr>
            <w:tcW w:w="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0.055</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0.010</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Adjusted net income per ADS</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3"/>
          </w:tcPr>
          <w:p>
            <w:pPr>
              <w:spacing w:after="0"/>
              <w:rPr>
                <w:sz w:val="20"/>
                <w:szCs w:val="20"/>
                <w:color w:val="auto"/>
              </w:rPr>
            </w:pPr>
            <w:r>
              <w:rPr>
                <w:rFonts w:ascii="Arial" w:cs="Arial" w:eastAsia="Arial" w:hAnsi="Arial"/>
                <w:sz w:val="18"/>
                <w:szCs w:val="18"/>
                <w:color w:val="auto"/>
              </w:rPr>
              <w:t>Basic, US$</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0.011</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0.113</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0.019</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0.217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Diluted, US$</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0.011</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0.110</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0.019</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0.211</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340" w:hanging="332"/>
        <w:spacing w:after="0" w:line="253" w:lineRule="auto"/>
        <w:tabs>
          <w:tab w:leader="none" w:pos="340" w:val="left"/>
        </w:tabs>
        <w:numPr>
          <w:ilvl w:val="0"/>
          <w:numId w:val="8"/>
        </w:numPr>
        <w:rPr>
          <w:rFonts w:ascii="Arial" w:cs="Arial" w:eastAsia="Arial" w:hAnsi="Arial"/>
          <w:sz w:val="12"/>
          <w:szCs w:val="12"/>
          <w:color w:val="auto"/>
        </w:rPr>
      </w:pPr>
      <w:r>
        <w:rPr>
          <w:rFonts w:ascii="Arial" w:cs="Arial" w:eastAsia="Arial" w:hAnsi="Arial"/>
          <w:sz w:val="14"/>
          <w:szCs w:val="14"/>
          <w:color w:val="auto"/>
        </w:rPr>
        <w:t>Reversal of income tax benefit related to the social security cost component of share-based remuneration, deferred taxes on the amortization of acquired intangible assets, and expensed IPO-related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405130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9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1)"/>
      <w:numFmt w:val="decimal"/>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2019-12-08T18:12:11Z</dcterms:created>
  <dcterms:modified xsi:type="dcterms:W3CDTF">2019-12-08T18:12:11Z</dcterms:modified>
</cp:coreProperties>
</file>