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167005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190500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left="1720" w:right="1860"/>
        <w:spacing w:after="0" w:line="263" w:lineRule="auto"/>
        <w:rPr>
          <w:sz w:val="20"/>
          <w:szCs w:val="20"/>
          <w:color w:val="auto"/>
        </w:rPr>
      </w:pPr>
      <w:r>
        <w:rPr>
          <w:rFonts w:ascii="Times New Roman" w:cs="Times New Roman" w:eastAsia="Times New Roman" w:hAnsi="Times New Roman"/>
          <w:sz w:val="21"/>
          <w:szCs w:val="21"/>
          <w:b w:val="1"/>
          <w:bCs w:val="1"/>
          <w:color w:val="auto"/>
        </w:rPr>
        <w:t>REPORT OF FOREIGN PRIVATE ISSUER PURSUANT TO RULE 13a-16 OR 15d-16 UNDER THE SECURITIES EXCHANGE ACT OF 1934</w:t>
      </w:r>
    </w:p>
    <w:p>
      <w:pPr>
        <w:spacing w:after="0" w:line="1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October 2024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001-38588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182880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OPERA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207010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Vitaminveien 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0485 Oslo, Norway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19"/>
        <w:spacing w:after="0" w:line="207" w:lineRule="exact"/>
        <w:tabs>
          <w:tab w:leader="none" w:pos="2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424815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821"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100" w:type="dxa"/>
            <w:vAlign w:val="bottom"/>
            <w:gridSpan w:val="2"/>
          </w:tcPr>
          <w:p>
            <w:pPr>
              <w:ind w:left="17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1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20" w:type="dxa"/>
            <w:vAlign w:val="bottom"/>
            <w:tcBorders>
              <w:bottom w:val="single" w:sz="8" w:color="0000FF"/>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FF"/>
              </w:rPr>
              <w:t>Press release dated October 29, 2024, titled “Opera Reports Third Quarter 2024 Results with Acceleration Beyond Expectations, Raises</w:t>
            </w:r>
          </w:p>
        </w:tc>
        <w:tc>
          <w:tcPr>
            <w:tcW w:w="160" w:type="dxa"/>
            <w:vAlign w:val="bottom"/>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Full-Year Outlook Again”</w:t>
            </w:r>
          </w:p>
        </w:tc>
      </w:tr>
      <w:tr>
        <w:trPr>
          <w:trHeight w:val="891"/>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80" w:type="dxa"/>
            <w:vAlign w:val="bottom"/>
            <w:tcBorders>
              <w:top w:val="single" w:sz="8" w:color="0000FF"/>
              <w:bottom w:val="single" w:sz="8" w:color="9A9A9A"/>
            </w:tcBorders>
          </w:tcPr>
          <w:p>
            <w:pPr>
              <w:spacing w:after="0"/>
              <w:rPr>
                <w:sz w:val="24"/>
                <w:szCs w:val="24"/>
                <w:color w:val="auto"/>
              </w:rPr>
            </w:pPr>
          </w:p>
        </w:tc>
        <w:tc>
          <w:tcPr>
            <w:tcW w:w="79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56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Opera Limited</w:t>
            </w:r>
          </w:p>
        </w:tc>
      </w:tr>
      <w:tr>
        <w:trPr>
          <w:trHeight w:val="49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October 29, 2024</w:t>
            </w:r>
          </w:p>
        </w:tc>
        <w:tc>
          <w:tcPr>
            <w:tcW w:w="26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James Yahui Zhou</w:t>
            </w:r>
          </w:p>
        </w:tc>
      </w:tr>
      <w:tr>
        <w:trPr>
          <w:trHeight w:val="234"/>
        </w:trPr>
        <w:tc>
          <w:tcPr>
            <w:tcW w:w="3680" w:type="dxa"/>
            <w:vAlign w:val="bottom"/>
          </w:tcPr>
          <w:p>
            <w:pPr>
              <w:spacing w:after="0"/>
              <w:rPr>
                <w:sz w:val="20"/>
                <w:szCs w:val="20"/>
                <w:color w:val="auto"/>
              </w:rPr>
            </w:pPr>
          </w:p>
        </w:tc>
        <w:tc>
          <w:tcPr>
            <w:tcW w:w="26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Yahui Zhou</w:t>
            </w:r>
          </w:p>
        </w:tc>
      </w:tr>
      <w:tr>
        <w:trPr>
          <w:trHeight w:val="238"/>
        </w:trPr>
        <w:tc>
          <w:tcPr>
            <w:tcW w:w="3680" w:type="dxa"/>
            <w:vAlign w:val="bottom"/>
          </w:tcPr>
          <w:p>
            <w:pPr>
              <w:spacing w:after="0"/>
              <w:rPr>
                <w:sz w:val="20"/>
                <w:szCs w:val="20"/>
                <w:color w:val="auto"/>
              </w:rPr>
            </w:pPr>
          </w:p>
        </w:tc>
        <w:tc>
          <w:tcPr>
            <w:tcW w:w="26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857"/>
        </w:trPr>
        <w:tc>
          <w:tcPr>
            <w:tcW w:w="368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Opera Reports Third Quarter 2024 Results with Acceleration Beyond Expectations, Raises Full-Year Outlook Again</w:t>
      </w:r>
    </w:p>
    <w:p>
      <w:pPr>
        <w:spacing w:after="0" w:line="2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Revenue grew 20% year-over-year to $123.2 million, and exceeded the guidance range</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Adjusted EBITDA of $30.8 million, a 25% margin, also exceeded the guidance range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Launched Opera One R2, a reimagined and updated version of Opera’s flagship browser, bringing improvements to AI, tab management and multimedia</w:t>
      </w:r>
    </w:p>
    <w:p>
      <w:pPr>
        <w:spacing w:after="0" w:line="225" w:lineRule="exact"/>
        <w:rPr>
          <w:sz w:val="20"/>
          <w:szCs w:val="20"/>
          <w:color w:val="auto"/>
        </w:rPr>
      </w:pPr>
    </w:p>
    <w:p>
      <w:pPr>
        <w:jc w:val="cente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Raises both revenue and adjusted EBITDA full-year guidance, now at 19% year-over-year growth at the midpoint with a corresponding increase in adjusted EBITDA expectations</w:t>
      </w:r>
    </w:p>
    <w:p>
      <w:pPr>
        <w:spacing w:after="0" w:line="15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OSLO, Norway, October 29, 2024 </w:t>
      </w:r>
      <w:r>
        <w:rPr>
          <w:rFonts w:ascii="Times New Roman" w:cs="Times New Roman" w:eastAsia="Times New Roman" w:hAnsi="Times New Roman"/>
          <w:sz w:val="18"/>
          <w:szCs w:val="18"/>
          <w:color w:val="auto"/>
        </w:rPr>
        <w:t>– Opera Limited (NASDAQ: OPRA), one of the world’s major browser developers and a leading internet consumer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brand, today announced financial results for the quarter ended September 30, 2024.</w:t>
      </w:r>
    </w:p>
    <w:p>
      <w:pPr>
        <w:spacing w:after="0" w:line="13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third quarter of 2024 demonstrated the sustained growth performance of our business, with an acceleration of revenue growth well beyond our expectations fueled by our ability to promote our advertising partners to an engaged and increasingly valuable user base. Our revenue overperformance led to another quarter of adjusted EBITDA also exceeding the high end of our guidance,” said co-CEO Lin Song.</w:t>
      </w:r>
    </w:p>
    <w:p>
      <w:pPr>
        <w:spacing w:after="0" w:line="135"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“Our excitement for the path ahead is supported by the combination of expanding monetization opportunities paired with the strength of our product portfolio. With the recent release of our flagship Opera One R2 browser, we enter the fourth quarter with a fresh and unique browser lineup across platforms, and we are enthusiastic about our plans to keep raising consumer awareness about Opera and our products,” continued Mr. Song.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Third Quarter and Nine Months 2024 Financial Highlights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4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2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 and per share amounts</w:t>
            </w:r>
          </w:p>
        </w:tc>
        <w:tc>
          <w:tcPr>
            <w:tcW w:w="140" w:type="dxa"/>
            <w:vAlign w:val="bottom"/>
            <w:vMerge w:val="restart"/>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vMerge w:val="restart"/>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 w:type="dxa"/>
            <w:vAlign w:val="bottom"/>
            <w:gridSpan w:val="2"/>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4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200" w:type="dxa"/>
            <w:vAlign w:val="bottom"/>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102,639</w:t>
            </w:r>
          </w:p>
        </w:tc>
        <w:tc>
          <w:tcPr>
            <w:tcW w:w="260" w:type="dxa"/>
            <w:vAlign w:val="bottom"/>
          </w:tcPr>
          <w:p>
            <w:pPr>
              <w:spacing w:after="0"/>
              <w:rPr>
                <w:sz w:val="17"/>
                <w:szCs w:val="17"/>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123,210</w:t>
            </w:r>
          </w:p>
        </w:tc>
        <w:tc>
          <w:tcPr>
            <w:tcW w:w="24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20 %</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283,824</w:t>
            </w:r>
          </w:p>
        </w:tc>
        <w:tc>
          <w:tcPr>
            <w:tcW w:w="24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334,815</w:t>
            </w:r>
          </w:p>
        </w:tc>
        <w:tc>
          <w:tcPr>
            <w:tcW w:w="20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0" w:type="dxa"/>
            <w:vAlign w:val="bottom"/>
          </w:tcPr>
          <w:p>
            <w:pPr>
              <w:spacing w:after="0"/>
              <w:rPr>
                <w:sz w:val="1"/>
                <w:szCs w:val="1"/>
                <w:color w:val="auto"/>
              </w:rPr>
            </w:pPr>
          </w:p>
        </w:tc>
      </w:tr>
      <w:tr>
        <w:trPr>
          <w:trHeight w:val="459"/>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16,836</w:t>
            </w:r>
          </w:p>
        </w:tc>
        <w:tc>
          <w:tcPr>
            <w:tcW w:w="260" w:type="dxa"/>
            <w:vAlign w:val="bottom"/>
          </w:tcPr>
          <w:p>
            <w:pPr>
              <w:spacing w:after="0"/>
              <w:rPr>
                <w:sz w:val="24"/>
                <w:szCs w:val="24"/>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17,940</w:t>
            </w:r>
          </w:p>
        </w:tc>
        <w:tc>
          <w:tcPr>
            <w:tcW w:w="240" w:type="dxa"/>
            <w:vAlign w:val="bottom"/>
          </w:tcPr>
          <w:p>
            <w:pPr>
              <w:spacing w:after="0"/>
              <w:rPr>
                <w:sz w:val="24"/>
                <w:szCs w:val="24"/>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7 %</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45,851</w:t>
            </w:r>
          </w:p>
        </w:tc>
        <w:tc>
          <w:tcPr>
            <w:tcW w:w="240" w:type="dxa"/>
            <w:vAlign w:val="bottom"/>
          </w:tcPr>
          <w:p>
            <w:pPr>
              <w:spacing w:after="0"/>
              <w:rPr>
                <w:sz w:val="24"/>
                <w:szCs w:val="24"/>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52,082</w:t>
            </w:r>
          </w:p>
        </w:tc>
        <w:tc>
          <w:tcPr>
            <w:tcW w:w="20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39"/>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Net income margin</w:t>
            </w:r>
          </w:p>
        </w:tc>
        <w:tc>
          <w:tcPr>
            <w:tcW w:w="2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16 %</w:t>
            </w:r>
          </w:p>
        </w:tc>
        <w:tc>
          <w:tcPr>
            <w:tcW w:w="3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i w:val="1"/>
                <w:iCs w:val="1"/>
                <w:color w:val="auto"/>
              </w:rPr>
              <w:t>15 %</w:t>
            </w: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16 %</w:t>
            </w:r>
          </w:p>
        </w:tc>
        <w:tc>
          <w:tcPr>
            <w:tcW w:w="32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16 %</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Adjusted net income </w:t>
            </w:r>
            <w:r>
              <w:rPr>
                <w:rFonts w:ascii="Times New Roman" w:cs="Times New Roman" w:eastAsia="Times New Roman" w:hAnsi="Times New Roman"/>
                <w:sz w:val="21"/>
                <w:szCs w:val="21"/>
                <w:color w:val="auto"/>
                <w:vertAlign w:val="superscript"/>
              </w:rPr>
              <w:t>(1)</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17,399</w:t>
            </w:r>
          </w:p>
        </w:tc>
        <w:tc>
          <w:tcPr>
            <w:tcW w:w="260" w:type="dxa"/>
            <w:vAlign w:val="bottom"/>
          </w:tcPr>
          <w:p>
            <w:pPr>
              <w:spacing w:after="0"/>
              <w:rPr>
                <w:sz w:val="19"/>
                <w:szCs w:val="19"/>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22,884</w:t>
            </w:r>
          </w:p>
        </w:tc>
        <w:tc>
          <w:tcPr>
            <w:tcW w:w="24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32 %</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51,155</w:t>
            </w:r>
          </w:p>
        </w:tc>
        <w:tc>
          <w:tcPr>
            <w:tcW w:w="24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61,335</w:t>
            </w:r>
          </w:p>
        </w:tc>
        <w:tc>
          <w:tcPr>
            <w:tcW w:w="20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i w:val="1"/>
                <w:iCs w:val="1"/>
                <w:color w:val="auto"/>
              </w:rPr>
              <w:t>Adjusted net income margin</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17 %</w:t>
            </w:r>
          </w:p>
        </w:tc>
        <w:tc>
          <w:tcPr>
            <w:tcW w:w="3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i w:val="1"/>
                <w:iCs w:val="1"/>
                <w:color w:val="auto"/>
              </w:rPr>
              <w:t>19 %</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18 %</w:t>
            </w:r>
          </w:p>
        </w:tc>
        <w:tc>
          <w:tcPr>
            <w:tcW w:w="3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18 %</w:t>
            </w: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1"/>
                <w:szCs w:val="21"/>
                <w:color w:val="auto"/>
                <w:vertAlign w:val="superscript"/>
              </w:rPr>
              <w:t>(1)</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23,752</w:t>
            </w:r>
          </w:p>
        </w:tc>
        <w:tc>
          <w:tcPr>
            <w:tcW w:w="260" w:type="dxa"/>
            <w:vAlign w:val="bottom"/>
          </w:tcPr>
          <w:p>
            <w:pPr>
              <w:spacing w:after="0"/>
              <w:rPr>
                <w:sz w:val="24"/>
                <w:szCs w:val="24"/>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30,797</w:t>
            </w:r>
          </w:p>
        </w:tc>
        <w:tc>
          <w:tcPr>
            <w:tcW w:w="240" w:type="dxa"/>
            <w:vAlign w:val="bottom"/>
          </w:tcPr>
          <w:p>
            <w:pPr>
              <w:spacing w:after="0"/>
              <w:rPr>
                <w:sz w:val="24"/>
                <w:szCs w:val="24"/>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30 %</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65,955</w:t>
            </w:r>
          </w:p>
        </w:tc>
        <w:tc>
          <w:tcPr>
            <w:tcW w:w="240" w:type="dxa"/>
            <w:vAlign w:val="bottom"/>
          </w:tcPr>
          <w:p>
            <w:pPr>
              <w:spacing w:after="0"/>
              <w:rPr>
                <w:sz w:val="24"/>
                <w:szCs w:val="24"/>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82,316</w:t>
            </w:r>
          </w:p>
        </w:tc>
        <w:tc>
          <w:tcPr>
            <w:tcW w:w="20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0" w:type="dxa"/>
            <w:vAlign w:val="bottom"/>
          </w:tcPr>
          <w:p>
            <w:pPr>
              <w:spacing w:after="0"/>
              <w:rPr>
                <w:sz w:val="1"/>
                <w:szCs w:val="1"/>
                <w:color w:val="auto"/>
              </w:rPr>
            </w:pPr>
          </w:p>
        </w:tc>
      </w:tr>
      <w:tr>
        <w:trPr>
          <w:trHeight w:val="221"/>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Adjusted EBITDA margin</w:t>
            </w:r>
          </w:p>
        </w:tc>
        <w:tc>
          <w:tcPr>
            <w:tcW w:w="2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23 %</w:t>
            </w:r>
          </w:p>
        </w:tc>
        <w:tc>
          <w:tcPr>
            <w:tcW w:w="3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i w:val="1"/>
                <w:iCs w:val="1"/>
                <w:color w:val="auto"/>
              </w:rPr>
              <w:t>25 %</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23 %</w:t>
            </w:r>
          </w:p>
        </w:tc>
        <w:tc>
          <w:tcPr>
            <w:tcW w:w="32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25 %</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180" w:type="dxa"/>
            <w:vAlign w:val="bottom"/>
            <w:gridSpan w:val="2"/>
          </w:tcPr>
          <w:p>
            <w:pPr>
              <w:ind w:left="20"/>
              <w:spacing w:after="0" w:line="215" w:lineRule="exact"/>
              <w:rPr>
                <w:sz w:val="20"/>
                <w:szCs w:val="20"/>
                <w:color w:val="auto"/>
              </w:rPr>
            </w:pPr>
            <w:r>
              <w:rPr>
                <w:rFonts w:ascii="Times New Roman" w:cs="Times New Roman" w:eastAsia="Times New Roman" w:hAnsi="Times New Roman"/>
                <w:sz w:val="16"/>
                <w:szCs w:val="16"/>
                <w:color w:val="auto"/>
              </w:rPr>
              <w:t xml:space="preserve">Diluted earnings per ADS </w:t>
            </w:r>
            <w:r>
              <w:rPr>
                <w:rFonts w:ascii="Times New Roman" w:cs="Times New Roman" w:eastAsia="Times New Roman" w:hAnsi="Times New Roman"/>
                <w:sz w:val="21"/>
                <w:szCs w:val="21"/>
                <w:color w:val="auto"/>
                <w:vertAlign w:val="superscript"/>
              </w:rPr>
              <w:t>(2)</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260" w:type="dxa"/>
            <w:vAlign w:val="bottom"/>
          </w:tcPr>
          <w:p>
            <w:pPr>
              <w:spacing w:after="0"/>
              <w:rPr>
                <w:sz w:val="18"/>
                <w:szCs w:val="18"/>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2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11 %</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2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0.58</w:t>
            </w:r>
          </w:p>
        </w:tc>
        <w:tc>
          <w:tcPr>
            <w:tcW w:w="2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0" w:type="dxa"/>
            <w:vAlign w:val="bottom"/>
          </w:tcPr>
          <w:p>
            <w:pPr>
              <w:spacing w:after="0"/>
              <w:rPr>
                <w:sz w:val="1"/>
                <w:szCs w:val="1"/>
                <w:color w:val="auto"/>
              </w:rPr>
            </w:pPr>
          </w:p>
        </w:tc>
      </w:tr>
      <w:tr>
        <w:trPr>
          <w:trHeight w:val="244"/>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xml:space="preserve">Diluted adjusted earnings per ADS </w:t>
            </w:r>
            <w:r>
              <w:rPr>
                <w:rFonts w:ascii="Times New Roman" w:cs="Times New Roman" w:eastAsia="Times New Roman" w:hAnsi="Times New Roman"/>
                <w:sz w:val="21"/>
                <w:szCs w:val="21"/>
                <w:color w:val="auto"/>
                <w:vertAlign w:val="superscript"/>
              </w:rPr>
              <w:t>(1, 2)</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260" w:type="dxa"/>
            <w:vAlign w:val="bottom"/>
          </w:tcPr>
          <w:p>
            <w:pPr>
              <w:spacing w:after="0"/>
              <w:rPr>
                <w:sz w:val="21"/>
                <w:szCs w:val="21"/>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24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34 %</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0.57</w:t>
            </w:r>
          </w:p>
        </w:tc>
        <w:tc>
          <w:tcPr>
            <w:tcW w:w="240" w:type="dxa"/>
            <w:vAlign w:val="bottom"/>
          </w:tcPr>
          <w:p>
            <w:pPr>
              <w:spacing w:after="0"/>
              <w:rPr>
                <w:sz w:val="21"/>
                <w:szCs w:val="21"/>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0.69</w:t>
            </w:r>
          </w:p>
        </w:tc>
        <w:tc>
          <w:tcPr>
            <w:tcW w:w="20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0" w:type="dxa"/>
            <w:vAlign w:val="bottom"/>
          </w:tcPr>
          <w:p>
            <w:pPr>
              <w:spacing w:after="0"/>
              <w:rPr>
                <w:sz w:val="1"/>
                <w:szCs w:val="1"/>
                <w:color w:val="auto"/>
              </w:rPr>
            </w:pPr>
          </w:p>
        </w:tc>
      </w:tr>
      <w:tr>
        <w:trPr>
          <w:trHeight w:val="440"/>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cash flow from operating activities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16,233</w:t>
            </w:r>
          </w:p>
        </w:tc>
        <w:tc>
          <w:tcPr>
            <w:tcW w:w="260" w:type="dxa"/>
            <w:vAlign w:val="bottom"/>
          </w:tcPr>
          <w:p>
            <w:pPr>
              <w:spacing w:after="0"/>
              <w:rPr>
                <w:sz w:val="24"/>
                <w:szCs w:val="24"/>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34,896</w:t>
            </w:r>
          </w:p>
        </w:tc>
        <w:tc>
          <w:tcPr>
            <w:tcW w:w="240" w:type="dxa"/>
            <w:vAlign w:val="bottom"/>
          </w:tcPr>
          <w:p>
            <w:pPr>
              <w:spacing w:after="0"/>
              <w:rPr>
                <w:sz w:val="24"/>
                <w:szCs w:val="24"/>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115 %</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57,477</w:t>
            </w:r>
          </w:p>
        </w:tc>
        <w:tc>
          <w:tcPr>
            <w:tcW w:w="240" w:type="dxa"/>
            <w:vAlign w:val="bottom"/>
          </w:tcPr>
          <w:p>
            <w:pPr>
              <w:spacing w:after="0"/>
              <w:rPr>
                <w:sz w:val="24"/>
                <w:szCs w:val="24"/>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83,334</w:t>
            </w:r>
          </w:p>
        </w:tc>
        <w:tc>
          <w:tcPr>
            <w:tcW w:w="20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0" w:type="dxa"/>
            <w:vAlign w:val="bottom"/>
          </w:tcPr>
          <w:p>
            <w:pPr>
              <w:spacing w:after="0"/>
              <w:rPr>
                <w:sz w:val="1"/>
                <w:szCs w:val="1"/>
                <w:color w:val="auto"/>
              </w:rPr>
            </w:pPr>
          </w:p>
        </w:tc>
      </w:tr>
      <w:tr>
        <w:trPr>
          <w:trHeight w:val="239"/>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As percent of adjusted EBITDA</w:t>
            </w:r>
          </w:p>
        </w:tc>
        <w:tc>
          <w:tcPr>
            <w:tcW w:w="2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68 %</w:t>
            </w:r>
          </w:p>
        </w:tc>
        <w:tc>
          <w:tcPr>
            <w:tcW w:w="3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i w:val="1"/>
                <w:iCs w:val="1"/>
                <w:color w:val="auto"/>
              </w:rPr>
              <w:t>113 %</w:t>
            </w: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87 %</w:t>
            </w:r>
          </w:p>
        </w:tc>
        <w:tc>
          <w:tcPr>
            <w:tcW w:w="32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101 %</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Free cash flow from operations </w:t>
            </w:r>
            <w:r>
              <w:rPr>
                <w:rFonts w:ascii="Times New Roman" w:cs="Times New Roman" w:eastAsia="Times New Roman" w:hAnsi="Times New Roman"/>
                <w:sz w:val="21"/>
                <w:szCs w:val="21"/>
                <w:color w:val="auto"/>
                <w:vertAlign w:val="superscript"/>
              </w:rPr>
              <w:t>(1)</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13,418</w:t>
            </w:r>
          </w:p>
        </w:tc>
        <w:tc>
          <w:tcPr>
            <w:tcW w:w="260" w:type="dxa"/>
            <w:vAlign w:val="bottom"/>
          </w:tcPr>
          <w:p>
            <w:pPr>
              <w:spacing w:after="0"/>
              <w:rPr>
                <w:sz w:val="19"/>
                <w:szCs w:val="19"/>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29,739</w:t>
            </w:r>
          </w:p>
        </w:tc>
        <w:tc>
          <w:tcPr>
            <w:tcW w:w="24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122 %</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49,951</w:t>
            </w:r>
          </w:p>
        </w:tc>
        <w:tc>
          <w:tcPr>
            <w:tcW w:w="24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51,555</w:t>
            </w:r>
          </w:p>
        </w:tc>
        <w:tc>
          <w:tcPr>
            <w:tcW w:w="20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i w:val="1"/>
                <w:iCs w:val="1"/>
                <w:color w:val="auto"/>
              </w:rPr>
              <w:t>As percent of adjusted EBITDA</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56 %</w:t>
            </w:r>
          </w:p>
        </w:tc>
        <w:tc>
          <w:tcPr>
            <w:tcW w:w="3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i w:val="1"/>
                <w:iCs w:val="1"/>
                <w:color w:val="auto"/>
              </w:rPr>
              <w:t>97 %</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76 %</w:t>
            </w:r>
          </w:p>
        </w:tc>
        <w:tc>
          <w:tcPr>
            <w:tcW w:w="3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63 %</w:t>
            </w: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-2906395</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-2614930</wp:posOffset>
            </wp:positionV>
            <wp:extent cx="71323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-1740535</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-1157605</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-866140</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380" w:right="320" w:hanging="372"/>
        <w:spacing w:after="0" w:line="259" w:lineRule="auto"/>
        <w:tabs>
          <w:tab w:leader="none" w:pos="3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See the sections below titled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Non-IFRS Financial Measures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Reconciliations of Non-IFRS Financial Measures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for explanations and reconciliations of non-IFRS financial measures.</w:t>
      </w:r>
    </w:p>
    <w:p>
      <w:pPr>
        <w:spacing w:after="0" w:line="1"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 Limited has American depositary shares (ADSs) listed on the Nasdaq Global Select Market, each representing two ordinary shares.</w:t>
      </w:r>
    </w:p>
    <w:p>
      <w:pPr>
        <w:spacing w:after="0" w:line="1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630"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Third Quarter 2024 and Recent Business Highlights</w:t>
      </w:r>
    </w:p>
    <w:p>
      <w:pPr>
        <w:spacing w:after="0" w:line="121" w:lineRule="exact"/>
        <w:rPr>
          <w:sz w:val="20"/>
          <w:szCs w:val="20"/>
          <w:color w:val="auto"/>
        </w:rPr>
      </w:pPr>
    </w:p>
    <w:p>
      <w:pPr>
        <w:ind w:left="760" w:right="160" w:hanging="378"/>
        <w:spacing w:after="0" w:line="266"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Solid monetization performance of our browsers, along with continuing growth of our Opera Ads platform and our ability to deliver targeted, high purchase intent traffic to our advertising partners, resulted in advertising revenue growing 26% year-over-year to $76.8 million, or 62% of total revenue.</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Search revenue grew 13% year-over-year, driven by our ongoing focus on users with potential for the greatest monetization.</w:t>
      </w:r>
    </w:p>
    <w:p>
      <w:pPr>
        <w:spacing w:after="0" w:line="117"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 had 296 million average monthly active users (MAUs) in the quarter, with continued growth in high-ARPU users continuing to be offset primarily by a decline of feature phone users in emerging markets.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 ARPU was $1.66, an increase of 27% versus the third quarter of 2023.</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 GX gaming browser had 31.9 million average MAUs in the quarter across PC and mobile, up 22% year-over-year.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 paid a semi-annual dividend of $0.40 per ADS in July.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flow from operating activities was $34.9 million. At quarter-end, cash and cash equivalents totaled $106.0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Third Quarter 2024 Financial Results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comparisons in this section are relative to the third quarter of 2023 unless otherwise stated.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increased 20% to $123.2 million.</w:t>
      </w:r>
    </w:p>
    <w:p>
      <w:pPr>
        <w:spacing w:after="0" w:line="121"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revenue increased 26% to $76.8 million.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Search revenue increased 13% to $46.3 million.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licensing and other revenue was $0.1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increased 16% to $100.7 million.</w:t>
      </w:r>
    </w:p>
    <w:p>
      <w:pPr>
        <w:spacing w:after="0" w:line="121" w:lineRule="exact"/>
        <w:rPr>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Combined technology and platform fees, content cost and cost of inventory sold were $33.1 million, or 27% of revenue.</w:t>
      </w:r>
    </w:p>
    <w:p>
      <w:pPr>
        <w:spacing w:after="0" w:line="117" w:lineRule="exact"/>
        <w:rPr>
          <w:rFonts w:ascii="Times New Roman" w:cs="Times New Roman" w:eastAsia="Times New Roman" w:hAnsi="Times New Roman"/>
          <w:sz w:val="18"/>
          <w:szCs w:val="18"/>
          <w:color w:val="auto"/>
        </w:rPr>
      </w:pPr>
    </w:p>
    <w:p>
      <w:pPr>
        <w:ind w:left="760" w:right="20" w:hanging="378"/>
        <w:spacing w:after="0" w:line="261"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expenses, including share-based compensation, totaled $23.2 million. Cash-based compensation expense was $19.1 million, a 9% increase year-over-year, whereas share-based compensation expense was $4.1 million. The share-based compensation expense includes equity awards granted by Opera’s majority shareholder to employees of Opera even though Opera does not have any obligation to settle the awards, and such awards do not lead to dilution for Opera shareholders.</w:t>
      </w:r>
    </w:p>
    <w:p>
      <w:pPr>
        <w:spacing w:after="0" w:line="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distribution expenses increased 14% to $32.5 million.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increased 29% to $4.1 million, primarily due to the AI data cluster acquired earlier this year.</w:t>
      </w:r>
    </w:p>
    <w:p>
      <w:pPr>
        <w:spacing w:after="0" w:line="117"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operating expenses decreased 14% to $7.7 million, driven by non-recurring expenses and impairments of non-financial assets relevant only in the comparable quarter, and other items remaining stable in totality.</w:t>
      </w:r>
    </w:p>
    <w:p>
      <w:pPr>
        <w:spacing w:after="0" w:line="11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profit </w:t>
      </w:r>
      <w:r>
        <w:rPr>
          <w:rFonts w:ascii="Times New Roman" w:cs="Times New Roman" w:eastAsia="Times New Roman" w:hAnsi="Times New Roman"/>
          <w:sz w:val="18"/>
          <w:szCs w:val="18"/>
          <w:color w:val="auto"/>
        </w:rPr>
        <w:t>was $23.2 million, representing a 19% margin, compared to an operating profit of $16.1 million and a margin of 16% in the third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2023.</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finance loss </w:t>
      </w:r>
      <w:r>
        <w:rPr>
          <w:rFonts w:ascii="Times New Roman" w:cs="Times New Roman" w:eastAsia="Times New Roman" w:hAnsi="Times New Roman"/>
          <w:sz w:val="18"/>
          <w:szCs w:val="18"/>
          <w:color w:val="auto"/>
        </w:rPr>
        <w:t>was $0.4 million, a result of foreign exchange loss of $1.1 million, offset by $0.7 million in net interest income.</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Income tax expense </w:t>
      </w:r>
      <w:r>
        <w:rPr>
          <w:rFonts w:ascii="Times New Roman" w:cs="Times New Roman" w:eastAsia="Times New Roman" w:hAnsi="Times New Roman"/>
          <w:sz w:val="18"/>
          <w:szCs w:val="18"/>
          <w:color w:val="auto"/>
        </w:rPr>
        <w:t>was $4.8 million, corresponding to an effective tax rate of 21%, or 16% of adjusted EBITDA, and compared to an income tax expense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$0.2 million in the third quarter of 2023 in which a deferred tax asset relating to prior share-based compensation expense was recognized.</w:t>
      </w:r>
    </w:p>
    <w:p>
      <w:pPr>
        <w:spacing w:after="0" w:line="11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was $17.9 million, representing a 15% margin, compared to net income of $16.8 million and a margin of 16% in the third quarter of 2023.</w:t>
      </w:r>
      <w:r>
        <w:rPr>
          <w:rFonts w:ascii="Times New Roman" w:cs="Times New Roman" w:eastAsia="Times New Roman" w:hAnsi="Times New Roman"/>
          <w:sz w:val="18"/>
          <w:szCs w:val="18"/>
          <w:b w:val="1"/>
          <w:bCs w:val="1"/>
          <w:color w:val="auto"/>
        </w:rPr>
        <w:t xml:space="preserve"> Adjusted net income</w:t>
      </w:r>
      <w:r>
        <w:rPr>
          <w:rFonts w:ascii="Times New Roman" w:cs="Times New Roman" w:eastAsia="Times New Roman" w:hAnsi="Times New Roman"/>
          <w:sz w:val="18"/>
          <w:szCs w:val="18"/>
          <w:color w:val="auto"/>
        </w:rPr>
        <w:t>, a new metric highlighting the underlying profitability of our core operations, was $22.9 million, representing an 19% margin,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adjusted net income of $17.4 million and a margin of 17% in the third quarter of 2023. The adjusted net income of prior quarters are published within the Excel file containing our historical results.</w:t>
      </w:r>
    </w:p>
    <w:p>
      <w:pPr>
        <w:spacing w:after="0" w:line="149"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was $30.8 million, representing a 25% margin, compared to adjusted EBITDA of $23.8 million, representing a 23% margin,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 quarter of 2023.</w:t>
      </w:r>
    </w:p>
    <w:p>
      <w:pPr>
        <w:spacing w:after="0" w:line="114"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Diluted earnings per ADS </w:t>
      </w:r>
      <w:r>
        <w:rPr>
          <w:rFonts w:ascii="Times New Roman" w:cs="Times New Roman" w:eastAsia="Times New Roman" w:hAnsi="Times New Roman"/>
          <w:sz w:val="18"/>
          <w:szCs w:val="18"/>
          <w:color w:val="auto"/>
        </w:rPr>
        <w:t>was $0.20, whereas</w:t>
      </w:r>
      <w:r>
        <w:rPr>
          <w:rFonts w:ascii="Times New Roman" w:cs="Times New Roman" w:eastAsia="Times New Roman" w:hAnsi="Times New Roman"/>
          <w:sz w:val="18"/>
          <w:szCs w:val="18"/>
          <w:b w:val="1"/>
          <w:bCs w:val="1"/>
          <w:color w:val="auto"/>
        </w:rPr>
        <w:t xml:space="preserve"> diluted adjusted earnings per ADS </w:t>
      </w:r>
      <w:r>
        <w:rPr>
          <w:rFonts w:ascii="Times New Roman" w:cs="Times New Roman" w:eastAsia="Times New Roman" w:hAnsi="Times New Roman"/>
          <w:sz w:val="18"/>
          <w:szCs w:val="18"/>
          <w:color w:val="auto"/>
        </w:rPr>
        <w:t>was $0.26. The diluted weighted average number of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was 89.5 million. As of September 30, 2024, a total of 88,480,154 ADS equivalents were outstanding.</w:t>
      </w:r>
    </w:p>
    <w:p>
      <w:pPr>
        <w:spacing w:after="0" w:line="11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cash flow from operating activities </w:t>
      </w:r>
      <w:r>
        <w:rPr>
          <w:rFonts w:ascii="Times New Roman" w:cs="Times New Roman" w:eastAsia="Times New Roman" w:hAnsi="Times New Roman"/>
          <w:sz w:val="18"/>
          <w:szCs w:val="18"/>
          <w:color w:val="auto"/>
        </w:rPr>
        <w:t>was $34.9 million, or 113% of adjusted EBITDA.</w:t>
      </w:r>
      <w:r>
        <w:rPr>
          <w:rFonts w:ascii="Times New Roman" w:cs="Times New Roman" w:eastAsia="Times New Roman" w:hAnsi="Times New Roman"/>
          <w:sz w:val="18"/>
          <w:szCs w:val="18"/>
          <w:b w:val="1"/>
          <w:bCs w:val="1"/>
          <w:color w:val="auto"/>
        </w:rPr>
        <w:t xml:space="preserve"> Free cash flow from operations </w:t>
      </w:r>
      <w:r>
        <w:rPr>
          <w:rFonts w:ascii="Times New Roman" w:cs="Times New Roman" w:eastAsia="Times New Roman" w:hAnsi="Times New Roman"/>
          <w:sz w:val="18"/>
          <w:szCs w:val="18"/>
          <w:color w:val="auto"/>
        </w:rPr>
        <w:t>was $29.7 million, or 97%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adjusted EBITDA.</w:t>
      </w:r>
    </w:p>
    <w:p>
      <w:pPr>
        <w:sectPr>
          <w:pgSz w:w="11900" w:h="16838" w:orient="portrait"/>
          <w:cols w:equalWidth="0" w:num="1">
            <w:col w:w="11220"/>
          </w:cols>
          <w:pgMar w:left="320" w:top="819" w:right="359" w:bottom="1440" w:gutter="0" w:footer="0" w:header="0"/>
        </w:sectPr>
      </w:pP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Outlook</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80" w:type="dxa"/>
            <w:vAlign w:val="bottom"/>
          </w:tcPr>
          <w:p>
            <w:pPr>
              <w:spacing w:after="0"/>
              <w:rPr>
                <w:sz w:val="19"/>
                <w:szCs w:val="19"/>
                <w:color w:val="auto"/>
              </w:rPr>
            </w:pPr>
          </w:p>
        </w:tc>
        <w:tc>
          <w:tcPr>
            <w:tcW w:w="2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Fourth Quarter 2024 Guidance</w:t>
            </w:r>
          </w:p>
        </w:tc>
        <w:tc>
          <w:tcPr>
            <w:tcW w:w="320" w:type="dxa"/>
            <w:vAlign w:val="bottom"/>
          </w:tcPr>
          <w:p>
            <w:pPr>
              <w:spacing w:after="0"/>
              <w:rPr>
                <w:sz w:val="19"/>
                <w:szCs w:val="19"/>
                <w:color w:val="auto"/>
              </w:rPr>
            </w:pPr>
          </w:p>
        </w:tc>
        <w:tc>
          <w:tcPr>
            <w:tcW w:w="27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Full-Year 2024 Guidance</w:t>
            </w:r>
          </w:p>
        </w:tc>
        <w:tc>
          <w:tcPr>
            <w:tcW w:w="240" w:type="dxa"/>
            <w:vAlign w:val="bottom"/>
          </w:tcPr>
          <w:p>
            <w:pPr>
              <w:spacing w:after="0"/>
              <w:rPr>
                <w:sz w:val="19"/>
                <w:szCs w:val="19"/>
                <w:color w:val="auto"/>
              </w:rPr>
            </w:pPr>
          </w:p>
        </w:tc>
      </w:tr>
      <w:tr>
        <w:trPr>
          <w:trHeight w:val="176"/>
        </w:trPr>
        <w:tc>
          <w:tcPr>
            <w:tcW w:w="5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Revenue</w:t>
            </w:r>
          </w:p>
        </w:tc>
        <w:tc>
          <w:tcPr>
            <w:tcW w:w="3140" w:type="dxa"/>
            <w:vAlign w:val="bottom"/>
            <w:gridSpan w:val="2"/>
          </w:tcPr>
          <w:p>
            <w:pPr>
              <w:jc w:val="right"/>
              <w:ind w:right="320"/>
              <w:spacing w:after="0" w:line="176" w:lineRule="exact"/>
              <w:rPr>
                <w:sz w:val="20"/>
                <w:szCs w:val="20"/>
                <w:color w:val="auto"/>
              </w:rPr>
            </w:pPr>
            <w:r>
              <w:rPr>
                <w:rFonts w:ascii="Times New Roman" w:cs="Times New Roman" w:eastAsia="Times New Roman" w:hAnsi="Times New Roman"/>
                <w:sz w:val="18"/>
                <w:szCs w:val="18"/>
                <w:color w:val="auto"/>
              </w:rPr>
              <w:t>$135 – 138 million</w:t>
            </w:r>
          </w:p>
        </w:tc>
        <w:tc>
          <w:tcPr>
            <w:tcW w:w="3020" w:type="dxa"/>
            <w:vAlign w:val="bottom"/>
            <w:gridSpan w:val="2"/>
          </w:tcPr>
          <w:p>
            <w:pPr>
              <w:jc w:val="right"/>
              <w:ind w:right="260"/>
              <w:spacing w:after="0" w:line="176" w:lineRule="exact"/>
              <w:rPr>
                <w:sz w:val="20"/>
                <w:szCs w:val="20"/>
                <w:color w:val="auto"/>
              </w:rPr>
            </w:pPr>
            <w:r>
              <w:rPr>
                <w:rFonts w:ascii="Times New Roman" w:cs="Times New Roman" w:eastAsia="Times New Roman" w:hAnsi="Times New Roman"/>
                <w:sz w:val="18"/>
                <w:szCs w:val="18"/>
                <w:color w:val="auto"/>
              </w:rPr>
              <w:t>$470 – 473 million</w:t>
            </w:r>
          </w:p>
        </w:tc>
      </w:tr>
      <w:tr>
        <w:trPr>
          <w:trHeight w:val="232"/>
        </w:trPr>
        <w:tc>
          <w:tcPr>
            <w:tcW w:w="5080" w:type="dxa"/>
            <w:vAlign w:val="bottom"/>
          </w:tcPr>
          <w:p>
            <w:pPr>
              <w:ind w:left="20"/>
              <w:spacing w:after="0" w:line="232" w:lineRule="exact"/>
              <w:rPr>
                <w:sz w:val="20"/>
                <w:szCs w:val="20"/>
                <w:color w:val="auto"/>
              </w:rPr>
            </w:pPr>
            <w:r>
              <w:rPr>
                <w:rFonts w:ascii="Times New Roman" w:cs="Times New Roman" w:eastAsia="Times New Roman" w:hAnsi="Times New Roman"/>
                <w:sz w:val="18"/>
                <w:szCs w:val="18"/>
                <w:i w:val="1"/>
                <w:iCs w:val="1"/>
                <w:color w:val="auto"/>
              </w:rPr>
              <w:t xml:space="preserve">Year-over-year revenue growth </w:t>
            </w:r>
            <w:r>
              <w:rPr>
                <w:rFonts w:ascii="Times New Roman" w:cs="Times New Roman" w:eastAsia="Times New Roman" w:hAnsi="Times New Roman"/>
                <w:sz w:val="24"/>
                <w:szCs w:val="24"/>
                <w:i w:val="1"/>
                <w:iCs w:val="1"/>
                <w:color w:val="auto"/>
                <w:vertAlign w:val="superscript"/>
              </w:rPr>
              <w:t>(1)</w:t>
            </w:r>
          </w:p>
        </w:tc>
        <w:tc>
          <w:tcPr>
            <w:tcW w:w="3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21 %</w:t>
            </w:r>
          </w:p>
        </w:tc>
        <w:tc>
          <w:tcPr>
            <w:tcW w:w="3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19 %</w:t>
            </w:r>
          </w:p>
        </w:tc>
      </w:tr>
      <w:tr>
        <w:trPr>
          <w:trHeight w:val="228"/>
        </w:trPr>
        <w:tc>
          <w:tcPr>
            <w:tcW w:w="5080" w:type="dxa"/>
            <w:vAlign w:val="bottom"/>
          </w:tcPr>
          <w:p>
            <w:pPr>
              <w:ind w:left="20"/>
              <w:spacing w:after="0" w:line="227"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4"/>
                <w:szCs w:val="24"/>
                <w:color w:val="auto"/>
                <w:vertAlign w:val="superscript"/>
              </w:rPr>
              <w:t>(2)</w:t>
            </w:r>
          </w:p>
        </w:tc>
        <w:tc>
          <w:tcPr>
            <w:tcW w:w="3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 – 32 million</w:t>
            </w:r>
          </w:p>
        </w:tc>
        <w:tc>
          <w:tcPr>
            <w:tcW w:w="3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$112 – 114 million</w:t>
            </w:r>
          </w:p>
        </w:tc>
      </w:tr>
      <w:tr>
        <w:trPr>
          <w:trHeight w:val="265"/>
        </w:trPr>
        <w:tc>
          <w:tcPr>
            <w:tcW w:w="5080" w:type="dxa"/>
            <w:vAlign w:val="bottom"/>
          </w:tcPr>
          <w:p>
            <w:pPr>
              <w:ind w:left="20"/>
              <w:spacing w:after="0" w:line="265" w:lineRule="exact"/>
              <w:rPr>
                <w:sz w:val="20"/>
                <w:szCs w:val="20"/>
                <w:color w:val="auto"/>
              </w:rPr>
            </w:pPr>
            <w:r>
              <w:rPr>
                <w:rFonts w:ascii="Times New Roman" w:cs="Times New Roman" w:eastAsia="Times New Roman" w:hAnsi="Times New Roman"/>
                <w:sz w:val="18"/>
                <w:szCs w:val="18"/>
                <w:i w:val="1"/>
                <w:iCs w:val="1"/>
                <w:color w:val="auto"/>
              </w:rPr>
              <w:t xml:space="preserve">Adjusted EBITDA margin </w:t>
            </w:r>
            <w:r>
              <w:rPr>
                <w:rFonts w:ascii="Times New Roman" w:cs="Times New Roman" w:eastAsia="Times New Roman" w:hAnsi="Times New Roman"/>
                <w:sz w:val="24"/>
                <w:szCs w:val="24"/>
                <w:i w:val="1"/>
                <w:iCs w:val="1"/>
                <w:color w:val="auto"/>
                <w:vertAlign w:val="superscript"/>
              </w:rPr>
              <w:t>(1)</w:t>
            </w:r>
          </w:p>
        </w:tc>
        <w:tc>
          <w:tcPr>
            <w:tcW w:w="3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23 %</w:t>
            </w:r>
          </w:p>
        </w:tc>
        <w:tc>
          <w:tcPr>
            <w:tcW w:w="3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24 %</w:t>
            </w: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2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713232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380" w:hanging="372"/>
        <w:spacing w:after="0"/>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percentages shown for revenue growth and adjusted EBITDA margin have been calculated based on the midpoints of the revenue and adjusted EBITDA guidance.</w:t>
      </w:r>
    </w:p>
    <w:p>
      <w:pPr>
        <w:spacing w:after="0" w:line="12"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the section below titled “Non-IFRS Financial Measures” for explanations of non-IFRS financial measures.</w:t>
      </w:r>
    </w:p>
    <w:p>
      <w:pPr>
        <w:spacing w:after="0" w:line="18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“With the momentum in our business, we once again raise our guidance for 2024. Our updated revenue range now starts well above the high-end of our former guidance range, and our adjusted EBITDA guidance is raised to represent the same margin expansion as previously guided, but on a greater revenue base. We enter the seasonally strongest fourth quarter with excitement about the potential of our product portfolio and our commercial opportunities, and how that will ultimately translate into a healthy starting position for 2025,” said Frode Jacobsen, CFO.</w:t>
      </w:r>
    </w:p>
    <w:p>
      <w:pPr>
        <w:spacing w:after="0" w:line="13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“For the fourth quarter, we guide to a continued and more pronounced acceleration of our year-over-year growth rate than implied in our earlier guidance, with strong underlying profitability allowing us to step up marketing efforts around our new product releases beyond earlier expectations,” continued Mr. Jacobsen.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and Webcast Information</w:t>
      </w:r>
    </w:p>
    <w:p>
      <w:pPr>
        <w:spacing w:after="0" w:line="18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Opera’s management will host a conference call to discuss the third quarter 2024 financial results at 8:00 a.m. ET today. The live webcast of the conference call can be accessed at our investor relations website at investor.opera.com, along with the earnings press release and financial tables. Following the call, a replay will be available at the same website.</w:t>
      </w:r>
    </w:p>
    <w:p>
      <w:pPr>
        <w:spacing w:after="0" w:line="13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also provide announcements regarding our financial performance and other matters, including SEC filings, press releases, slide presentations, business blogs and information on corporate governance, on our investor relations website at investor.opera.com.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Non-IFRS Financial Measures</w:t>
      </w:r>
    </w:p>
    <w:p>
      <w:pPr>
        <w:spacing w:after="0" w:line="18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collect and analyze operating and financial data to evaluate the health of our business and assess our performance. In addition to revenue, net income, net cash flow from operating activities and other financial measures under IFRS Accounting Standards, we use adjusted net income, adjusted net income margin, adjusted earnings per share, adjusted EBITDA, adjusted EBITDA margin and free cash flow from operations to evaluate our business. We use these non-IFRS financial measures for financial and operational decision-making and as means to evaluate period-to-period comparisons. We believe adjusted net income and adjusted earnings per share, adjusted EBITDA and adjusted EBITDA margin provide meaningful supplemental information regarding our financial performance by excluding certain items that may not be indicative of recurring core business operating results. We believe that free cash flow from operations provides useful information regarding our liquidity, including ability to generate cash from business operations that is available for acquisitions and other investments, and for distributions to our shareholders.</w:t>
      </w:r>
    </w:p>
    <w:p>
      <w:pPr>
        <w:spacing w:after="0" w:line="1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define adjusted net income as net income excluding (i) profit (loss) from discontinued operations, (ii) gain (loss) on investments in unconsolidated entities, (iii) non-recurring expenses, (iv) impairment of non-financial assets, (v) amortization of acquired intangible assets, (vi) share-based compensation expense, and (vii) the income tax effect of these adjustments. Adjusted net income margin is calculated as adjusted net income divided by revenue, whereas adjusted earnings per share is calculated as adjusted net income divided by the weighted average number of shares outstanding.</w:t>
      </w:r>
    </w:p>
    <w:p>
      <w:pPr>
        <w:spacing w:after="0" w:line="15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define adjusted EBITDA as net income excluding (i) profit (loss) from discontinued operations, (ii) income tax expense, (iii) net finance income (expense), (iv) gain (loss) on long-term investments in unconsolidated entities, (v) non-recurring expenses, (vi) impairment of non-financial assets, (vii) depreciation and amortization, (viii) share-based compensation expense, and (ix) other operating income. Adjusted EBITDA margin is calculated as adjusted EBITDA divided by revenue.</w:t>
      </w:r>
    </w:p>
    <w:p>
      <w:pPr>
        <w:spacing w:after="0" w:line="13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We define free cash flow from operations as net cash flows from (used in) operating activities less (i) purchases of fixed and intangible assets, (ii) development expenditure and (iii) payment of lease liabilities.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believe the non-IFRS financial measures defined above are useful to investors both because they allow for greater transparency with respect to key metrics used by management in its financial and operational decision-making and they are used by our institutional investors and the analyst community to help them analyze the health of our business. However, these non-IFRS financial measures should not be considered substitutes for, or superior to, the financial information prepared and presented in accordance with IFRS Accounting Standards. Our calculations of adjusted net income, adjusted net income margin, adjusted earnings per share, adjusted EBITDA, adjusted EBITDA margin and free cash flow from operations may differ from similarly-titled non-IFRS measures, if any, reported by our peers. In addition, the non-IFRS financial measures may be limited in their usefulness because they do not present the</w:t>
      </w:r>
    </w:p>
    <w:p>
      <w:pPr>
        <w:sectPr>
          <w:pgSz w:w="11900" w:h="16838" w:orient="portrait"/>
          <w:cols w:equalWidth="0" w:num="1">
            <w:col w:w="11240"/>
          </w:cols>
          <w:pgMar w:left="320" w:top="819" w:right="339"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6" w:name="page7"/>
    <w:bookmarkEnd w:id="6"/>
    <w:p>
      <w:pPr>
        <w:ind w:right="180"/>
        <w:spacing w:after="0" w:line="261" w:lineRule="auto"/>
        <w:rPr>
          <w:sz w:val="20"/>
          <w:szCs w:val="20"/>
          <w:color w:val="auto"/>
        </w:rPr>
      </w:pPr>
      <w:r>
        <w:rPr>
          <w:rFonts w:ascii="Times New Roman" w:cs="Times New Roman" w:eastAsia="Times New Roman" w:hAnsi="Times New Roman"/>
          <w:sz w:val="18"/>
          <w:szCs w:val="18"/>
          <w:color w:val="auto"/>
        </w:rPr>
        <w:t>full economic effects of certain items of income, expenses and cash flows. We compensate for these limitations by providing reconciliations of our non-IFRS financial measures to the most closely related financial measures in IFRS Accounting Standards. We encourage investors and others to review our financial information in its entirety, not to rely on any single financial measure and to view our reported non-IFRS financial measures in conjunction with net income and net cash flow from operating activities.</w:t>
      </w:r>
    </w:p>
    <w:p>
      <w:pPr>
        <w:spacing w:after="0" w:line="13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reconciliations of these non-IFRS financial measures to the most directly comparable financial measures prepared in accordance with IFRS Accounting Standards, please see the section titled “Reconciliations of Non-IFRS Financial Measures” included at the end of this earnings press release.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Safe Harbor Statement</w:t>
      </w:r>
    </w:p>
    <w:p>
      <w:pPr>
        <w:spacing w:after="0" w:line="20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of a forward-looking nature. These statements, including statements relating to the Company’s future financial and operating results, are made under the “safe harbor” provisions of the U.S. Private Securities Litigation Reform Act of 1995. You can identify these forward-looking statements by terminology such as “will,” “may,” “expect,” “believe,” “anticipate,” “intend,” “aim,” “estimate,” “seek,” “plan,” “potential,” “continue,” “ongoing,” “target,” “guidance,” “is/are likely to,” “future” and similar statements. Among other things, management’s quotations and the Business Outlook section contain forward-looking statements. The Company may also make forward-looking statements in its periodic reports to the U.S. Securities and Exchange Commission (the “SEC”), in press releases and other written materials and in oral statements made by its officers, directors or employees to third parties. These forward-looking statements involve known and unknown risks and uncertainties and are based on current expectations, assumptions, estimates and projections about the Company and the industry in which it operates. Potential risks and uncertainties include, but are not limited to, those relating to: the duration and development of international wars and conflicts, such as in Ukraine and the Middle East, and related economic sanctions, as well as resulting changes in consumer behaviors; the outcome of regulatory processes or litigation; the Company and its goals and strategies; expected development and launch, and market acceptance, of products and services; Company’s expectations regarding demand for and market acceptance of its brands, platforms and services; Company’s expectations regarding growth in its user base, user retention and level of engagement; changes in consumer behavior, for example from increased adoption of AI powered services; Company’s ability to attract, retain and monetize users; Company’s ability to continue to develop new technologies, products and services and/or upgrade its existing technologies, products and services; quarterly variations in Company’s operating results caused by factors beyond its control; and global macroeconomic conditions and their potential impact in the markets in which the Company has business. All information provided in this press release is as of the date hereof and is based on assumptions that the Company believes to be reasonable as of this date, and it undertakes no obligation to update any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its expectations will turn out to be correct, and investors are cautioned that actual results may differ materially from the anticipated results. Further information regarding risks and uncertainties faced by Opera is included in the Company’s filings with the SEC, including its annual reports on Form 20-F.</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Opera</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Opera is a user-centric and innovative software company focused on enabling the best possible internet browsing experience across all devices. Hundreds of millions use the Opera web browsers for their unique and secure features on their mobile phones and desktop computers. Founded in 1995, and headquartered in Oslo, Norway, Opera is a public company listed on the Nasdaq stock exchange under the ticker symbol “OPRA”. Download the Opera web browser and access other Opera products from opera.com. Learn more about Opera at investor.opera.com.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Wolfson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investor-relations@opera.com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press-team@opera.com</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Opera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 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0" w:type="dxa"/>
            <w:vAlign w:val="bottom"/>
            <w:gridSpan w:val="5"/>
          </w:tcPr>
          <w:p>
            <w:pPr>
              <w:jc w:val="center"/>
              <w:ind w:right="6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7"/>
                <w:szCs w:val="17"/>
                <w:color w:val="auto"/>
              </w:rPr>
            </w:pPr>
          </w:p>
        </w:tc>
        <w:tc>
          <w:tcPr>
            <w:tcW w:w="236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25"/>
        </w:trPr>
        <w:tc>
          <w:tcPr>
            <w:tcW w:w="49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center"/>
              <w:ind w:left="29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center"/>
              <w:ind w:left="43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9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00" w:type="dxa"/>
            <w:vAlign w:val="bottom"/>
          </w:tcPr>
          <w:p>
            <w:pPr>
              <w:spacing w:after="0"/>
              <w:rPr>
                <w:sz w:val="19"/>
                <w:szCs w:val="19"/>
                <w:color w:val="auto"/>
              </w:rPr>
            </w:pPr>
          </w:p>
        </w:tc>
      </w:tr>
      <w:tr>
        <w:trPr>
          <w:trHeight w:val="243"/>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4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102,639</w:t>
            </w: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123,210</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283,824</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334,815</w:t>
            </w:r>
          </w:p>
        </w:tc>
        <w:tc>
          <w:tcPr>
            <w:tcW w:w="100" w:type="dxa"/>
            <w:vAlign w:val="bottom"/>
            <w:shd w:val="clear" w:color="auto" w:fill="CFF0FC"/>
          </w:tcPr>
          <w:p>
            <w:pPr>
              <w:spacing w:after="0"/>
              <w:rPr>
                <w:sz w:val="21"/>
                <w:szCs w:val="21"/>
                <w:color w:val="auto"/>
              </w:rPr>
            </w:pPr>
          </w:p>
        </w:tc>
      </w:tr>
      <w:tr>
        <w:trPr>
          <w:trHeight w:val="23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income</w:t>
            </w: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00" w:type="dxa"/>
            <w:vAlign w:val="bottom"/>
          </w:tcPr>
          <w:p>
            <w:pPr>
              <w:spacing w:after="0"/>
              <w:rPr>
                <w:sz w:val="20"/>
                <w:szCs w:val="20"/>
                <w:color w:val="auto"/>
              </w:rPr>
            </w:pPr>
          </w:p>
        </w:tc>
      </w:tr>
      <w:tr>
        <w:trPr>
          <w:trHeight w:val="24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Technology and platform fees</w:t>
            </w: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(736 )</w:t>
            </w:r>
          </w:p>
        </w:tc>
        <w:tc>
          <w:tcPr>
            <w:tcW w:w="4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(1,841 )</w:t>
            </w:r>
          </w:p>
        </w:tc>
        <w:tc>
          <w:tcPr>
            <w:tcW w:w="2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(2,691 )</w:t>
            </w:r>
          </w:p>
        </w:tc>
        <w:tc>
          <w:tcPr>
            <w:tcW w:w="4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(7,497 )</w:t>
            </w:r>
          </w:p>
        </w:tc>
      </w:tr>
      <w:tr>
        <w:trPr>
          <w:trHeight w:val="247"/>
        </w:trPr>
        <w:tc>
          <w:tcPr>
            <w:tcW w:w="4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Content cost</w:t>
            </w: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(1,181 )</w:t>
            </w:r>
          </w:p>
        </w:tc>
        <w:tc>
          <w:tcPr>
            <w:tcW w:w="4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(897 )</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(3,164 )</w:t>
            </w:r>
          </w:p>
        </w:tc>
        <w:tc>
          <w:tcPr>
            <w:tcW w:w="4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(2,767 )</w:t>
            </w:r>
          </w:p>
        </w:tc>
      </w:tr>
      <w:tr>
        <w:trPr>
          <w:trHeight w:val="239"/>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inventory sold</w:t>
            </w: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(23,332 )</w:t>
            </w:r>
          </w:p>
        </w:tc>
        <w:tc>
          <w:tcPr>
            <w:tcW w:w="4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(30,377 )</w:t>
            </w:r>
          </w:p>
        </w:tc>
        <w:tc>
          <w:tcPr>
            <w:tcW w:w="2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(58,855 )</w:t>
            </w:r>
          </w:p>
        </w:tc>
        <w:tc>
          <w:tcPr>
            <w:tcW w:w="4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(74,523 )</w:t>
            </w:r>
          </w:p>
        </w:tc>
      </w:tr>
      <w:tr>
        <w:trPr>
          <w:trHeight w:val="247"/>
        </w:trPr>
        <w:tc>
          <w:tcPr>
            <w:tcW w:w="4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Personnel expenses including share-based compensation</w:t>
            </w: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(20,710 )</w:t>
            </w:r>
          </w:p>
        </w:tc>
        <w:tc>
          <w:tcPr>
            <w:tcW w:w="4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(23,184 )</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(62,133 )</w:t>
            </w:r>
          </w:p>
        </w:tc>
        <w:tc>
          <w:tcPr>
            <w:tcW w:w="4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(61,889 )</w:t>
            </w:r>
          </w:p>
        </w:tc>
      </w:tr>
      <w:tr>
        <w:trPr>
          <w:trHeight w:val="239"/>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Marketing and distribution expenses</w:t>
            </w: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(28,406 )</w:t>
            </w:r>
          </w:p>
        </w:tc>
        <w:tc>
          <w:tcPr>
            <w:tcW w:w="4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(32,516 )</w:t>
            </w:r>
          </w:p>
        </w:tc>
        <w:tc>
          <w:tcPr>
            <w:tcW w:w="2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(79,799 )</w:t>
            </w:r>
          </w:p>
        </w:tc>
        <w:tc>
          <w:tcPr>
            <w:tcW w:w="4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(91,007 )</w:t>
            </w:r>
          </w:p>
        </w:tc>
      </w:tr>
      <w:tr>
        <w:trPr>
          <w:trHeight w:val="247"/>
        </w:trPr>
        <w:tc>
          <w:tcPr>
            <w:tcW w:w="4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Credit loss expense</w:t>
            </w: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(192 )</w:t>
            </w:r>
          </w:p>
        </w:tc>
        <w:tc>
          <w:tcPr>
            <w:tcW w:w="4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(2,638 )</w:t>
            </w:r>
          </w:p>
        </w:tc>
        <w:tc>
          <w:tcPr>
            <w:tcW w:w="4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FF0FC"/>
          </w:tcPr>
          <w:p>
            <w:pPr>
              <w:spacing w:after="0"/>
              <w:rPr>
                <w:sz w:val="21"/>
                <w:szCs w:val="21"/>
                <w:color w:val="auto"/>
              </w:rPr>
            </w:pPr>
          </w:p>
        </w:tc>
      </w:tr>
      <w:tr>
        <w:trPr>
          <w:trHeight w:val="239"/>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(3,205 )</w:t>
            </w:r>
          </w:p>
        </w:tc>
        <w:tc>
          <w:tcPr>
            <w:tcW w:w="4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(4,146 )</w:t>
            </w:r>
          </w:p>
        </w:tc>
        <w:tc>
          <w:tcPr>
            <w:tcW w:w="2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(9,940 )</w:t>
            </w:r>
          </w:p>
        </w:tc>
        <w:tc>
          <w:tcPr>
            <w:tcW w:w="4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(11,229 )</w:t>
            </w:r>
          </w:p>
        </w:tc>
      </w:tr>
      <w:tr>
        <w:trPr>
          <w:trHeight w:val="247"/>
        </w:trPr>
        <w:tc>
          <w:tcPr>
            <w:tcW w:w="4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(565 )</w:t>
            </w:r>
          </w:p>
        </w:tc>
        <w:tc>
          <w:tcPr>
            <w:tcW w:w="4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(4 )</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(565 )</w:t>
            </w:r>
          </w:p>
        </w:tc>
        <w:tc>
          <w:tcPr>
            <w:tcW w:w="4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r>
      <w:tr>
        <w:trPr>
          <w:trHeight w:val="239"/>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Non-recurring expenses</w:t>
            </w: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(689 )</w:t>
            </w:r>
          </w:p>
        </w:tc>
        <w:tc>
          <w:tcPr>
            <w:tcW w:w="40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(689 )</w:t>
            </w:r>
          </w:p>
        </w:tc>
        <w:tc>
          <w:tcPr>
            <w:tcW w:w="4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(7,552 )</w:t>
            </w:r>
          </w:p>
        </w:tc>
        <w:tc>
          <w:tcPr>
            <w:tcW w:w="4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(7,758 )</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(20,974 )</w:t>
            </w:r>
          </w:p>
        </w:tc>
        <w:tc>
          <w:tcPr>
            <w:tcW w:w="4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(23,723 )</w:t>
            </w:r>
          </w:p>
        </w:tc>
      </w:tr>
      <w:tr>
        <w:trPr>
          <w:trHeight w:val="20"/>
        </w:trPr>
        <w:tc>
          <w:tcPr>
            <w:tcW w:w="498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49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(86,569 )</w:t>
            </w:r>
          </w:p>
        </w:tc>
        <w:tc>
          <w:tcPr>
            <w:tcW w:w="4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(100,678 )</w:t>
            </w:r>
          </w:p>
        </w:tc>
        <w:tc>
          <w:tcPr>
            <w:tcW w:w="2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(241,449 )</w:t>
            </w:r>
          </w:p>
        </w:tc>
        <w:tc>
          <w:tcPr>
            <w:tcW w:w="4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(272,389 )</w:t>
            </w:r>
          </w:p>
        </w:tc>
      </w:tr>
      <w:tr>
        <w:trPr>
          <w:trHeight w:val="237"/>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8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spacing w:after="0"/>
              <w:rPr>
                <w:sz w:val="20"/>
                <w:szCs w:val="20"/>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16,078</w:t>
            </w:r>
          </w:p>
        </w:tc>
        <w:tc>
          <w:tcPr>
            <w:tcW w:w="26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spacing w:after="0"/>
              <w:rPr>
                <w:sz w:val="20"/>
                <w:szCs w:val="20"/>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23,185</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42,563</w:t>
            </w:r>
          </w:p>
        </w:tc>
        <w:tc>
          <w:tcPr>
            <w:tcW w:w="2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spacing w:after="0"/>
              <w:rPr>
                <w:sz w:val="20"/>
                <w:szCs w:val="20"/>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64,703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4"/>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finance income (expense):</w:t>
            </w: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4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Finance income</w:t>
            </w: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7,877</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100" w:type="dxa"/>
            <w:vAlign w:val="bottom"/>
            <w:shd w:val="clear" w:color="auto" w:fill="CFF0FC"/>
          </w:tcPr>
          <w:p>
            <w:pPr>
              <w:spacing w:after="0"/>
              <w:rPr>
                <w:sz w:val="21"/>
                <w:szCs w:val="21"/>
                <w:color w:val="auto"/>
              </w:rPr>
            </w:pPr>
          </w:p>
        </w:tc>
      </w:tr>
      <w:tr>
        <w:trPr>
          <w:trHeight w:val="239"/>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expense</w:t>
            </w: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(92 )</w:t>
            </w:r>
          </w:p>
        </w:tc>
        <w:tc>
          <w:tcPr>
            <w:tcW w:w="4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(117 )</w:t>
            </w:r>
          </w:p>
        </w:tc>
        <w:tc>
          <w:tcPr>
            <w:tcW w:w="2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(545 )</w:t>
            </w:r>
          </w:p>
        </w:tc>
        <w:tc>
          <w:tcPr>
            <w:tcW w:w="4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(432 )</w:t>
            </w:r>
          </w:p>
        </w:tc>
      </w:tr>
      <w:tr>
        <w:trPr>
          <w:trHeight w:val="247"/>
        </w:trPr>
        <w:tc>
          <w:tcPr>
            <w:tcW w:w="4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foreign exchange gain (loss)</w:t>
            </w: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(86 )</w:t>
            </w:r>
          </w:p>
        </w:tc>
        <w:tc>
          <w:tcPr>
            <w:tcW w:w="4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(1,067 )</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(2,472 )</w:t>
            </w:r>
          </w:p>
        </w:tc>
      </w:tr>
      <w:tr>
        <w:trPr>
          <w:trHeight w:val="20"/>
        </w:trPr>
        <w:tc>
          <w:tcPr>
            <w:tcW w:w="498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49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Net finance income (expense)</w:t>
            </w: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(400 )</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7,922</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(321 )</w:t>
            </w:r>
          </w:p>
        </w:tc>
      </w:tr>
      <w:tr>
        <w:trPr>
          <w:trHeight w:val="236"/>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8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spacing w:after="0"/>
              <w:rPr>
                <w:sz w:val="20"/>
                <w:szCs w:val="20"/>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17,054</w:t>
            </w:r>
          </w:p>
        </w:tc>
        <w:tc>
          <w:tcPr>
            <w:tcW w:w="26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spacing w:after="0"/>
              <w:rPr>
                <w:sz w:val="20"/>
                <w:szCs w:val="20"/>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22,786</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50,485</w:t>
            </w:r>
          </w:p>
        </w:tc>
        <w:tc>
          <w:tcPr>
            <w:tcW w:w="2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spacing w:after="0"/>
              <w:rPr>
                <w:sz w:val="20"/>
                <w:szCs w:val="20"/>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64,382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(218 )</w:t>
            </w:r>
          </w:p>
        </w:tc>
        <w:tc>
          <w:tcPr>
            <w:tcW w:w="4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(4,846 )</w:t>
            </w:r>
          </w:p>
        </w:tc>
        <w:tc>
          <w:tcPr>
            <w:tcW w:w="2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(4,635 )</w:t>
            </w:r>
          </w:p>
        </w:tc>
        <w:tc>
          <w:tcPr>
            <w:tcW w:w="4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(12,300 )</w:t>
            </w:r>
          </w:p>
        </w:tc>
      </w:tr>
      <w:tr>
        <w:trPr>
          <w:trHeight w:val="276"/>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Opera shareholders</w:t>
            </w:r>
          </w:p>
        </w:tc>
        <w:tc>
          <w:tcPr>
            <w:tcW w:w="84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16,836</w:t>
            </w:r>
          </w:p>
        </w:tc>
        <w:tc>
          <w:tcPr>
            <w:tcW w:w="26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17,940</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45,851</w:t>
            </w:r>
          </w:p>
        </w:tc>
        <w:tc>
          <w:tcPr>
            <w:tcW w:w="24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52,082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4"/>
        </w:trPr>
        <w:tc>
          <w:tcPr>
            <w:tcW w:w="49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American depositary share (ADS):</w:t>
            </w: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2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6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4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tcPr>
          <w:p>
            <w:pPr>
              <w:spacing w:after="0"/>
              <w:rPr>
                <w:sz w:val="20"/>
                <w:szCs w:val="20"/>
                <w:color w:val="auto"/>
              </w:rPr>
            </w:pPr>
          </w:p>
        </w:tc>
      </w:tr>
      <w:tr>
        <w:trPr>
          <w:trHeight w:val="247"/>
        </w:trPr>
        <w:tc>
          <w:tcPr>
            <w:tcW w:w="4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24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shd w:val="clear" w:color="auto" w:fill="CFF0FC"/>
          </w:tcPr>
          <w:p>
            <w:pPr>
              <w:spacing w:after="0"/>
              <w:rPr>
                <w:sz w:val="21"/>
                <w:szCs w:val="21"/>
                <w:color w:val="auto"/>
              </w:rPr>
            </w:pPr>
          </w:p>
        </w:tc>
      </w:tr>
      <w:tr>
        <w:trPr>
          <w:trHeight w:val="241"/>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number of ADSs outstanding:</w:t>
            </w: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4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89,653</w:t>
            </w: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88,472</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89,777</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88,458</w:t>
            </w:r>
          </w:p>
        </w:tc>
        <w:tc>
          <w:tcPr>
            <w:tcW w:w="100" w:type="dxa"/>
            <w:vAlign w:val="bottom"/>
            <w:shd w:val="clear" w:color="auto" w:fill="CFF0FC"/>
          </w:tcPr>
          <w:p>
            <w:pPr>
              <w:spacing w:after="0"/>
              <w:rPr>
                <w:sz w:val="21"/>
                <w:szCs w:val="21"/>
                <w:color w:val="auto"/>
              </w:rPr>
            </w:pPr>
          </w:p>
        </w:tc>
      </w:tr>
      <w:tr>
        <w:trPr>
          <w:trHeight w:val="234"/>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91,214</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89,487</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91,309</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89,482</w:t>
            </w:r>
          </w:p>
        </w:tc>
        <w:tc>
          <w:tcPr>
            <w:tcW w:w="100" w:type="dxa"/>
            <w:vAlign w:val="bottom"/>
          </w:tcPr>
          <w:p>
            <w:pPr>
              <w:spacing w:after="0"/>
              <w:rPr>
                <w:sz w:val="20"/>
                <w:szCs w:val="20"/>
                <w:color w:val="auto"/>
              </w:rPr>
            </w:pPr>
          </w:p>
        </w:tc>
      </w:tr>
      <w:tr>
        <w:trPr>
          <w:trHeight w:val="418"/>
        </w:trPr>
        <w:tc>
          <w:tcPr>
            <w:tcW w:w="498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Opera Limited</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7640" w:type="dxa"/>
            <w:vAlign w:val="bottom"/>
            <w:gridSpan w:val="6"/>
          </w:tcPr>
          <w:p>
            <w:pPr>
              <w:jc w:val="center"/>
              <w:ind w:left="3510"/>
              <w:spacing w:after="0"/>
              <w:rPr>
                <w:sz w:val="20"/>
                <w:szCs w:val="20"/>
                <w:color w:val="auto"/>
              </w:rPr>
            </w:pPr>
            <w:r>
              <w:rPr>
                <w:rFonts w:ascii="Times New Roman" w:cs="Times New Roman" w:eastAsia="Times New Roman" w:hAnsi="Times New Roman"/>
                <w:sz w:val="18"/>
                <w:szCs w:val="18"/>
                <w:b w:val="1"/>
                <w:bCs w:val="1"/>
                <w:color w:val="auto"/>
                <w:w w:val="99"/>
              </w:rPr>
              <w:t>Consolidated Statement of Comprehensive Income</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7240" w:type="dxa"/>
            <w:vAlign w:val="bottom"/>
            <w:gridSpan w:val="5"/>
          </w:tcPr>
          <w:p>
            <w:pPr>
              <w:jc w:val="center"/>
              <w:ind w:left="3910"/>
              <w:spacing w:after="0"/>
              <w:rPr>
                <w:sz w:val="20"/>
                <w:szCs w:val="20"/>
                <w:color w:val="auto"/>
              </w:rPr>
            </w:pPr>
            <w:r>
              <w:rPr>
                <w:rFonts w:ascii="Times New Roman" w:cs="Times New Roman" w:eastAsia="Times New Roman" w:hAnsi="Times New Roman"/>
                <w:sz w:val="18"/>
                <w:szCs w:val="18"/>
                <w:color w:val="auto"/>
              </w:rPr>
              <w:t>(In thousands, unaudited)</w:t>
            </w: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6"/>
        </w:trPr>
        <w:tc>
          <w:tcPr>
            <w:tcW w:w="4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0" w:type="dxa"/>
            <w:vAlign w:val="bottom"/>
            <w:gridSpan w:val="5"/>
          </w:tcPr>
          <w:p>
            <w:pPr>
              <w:jc w:val="center"/>
              <w:ind w:right="6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24"/>
                <w:szCs w:val="24"/>
                <w:color w:val="auto"/>
              </w:rPr>
            </w:pPr>
          </w:p>
        </w:tc>
        <w:tc>
          <w:tcPr>
            <w:tcW w:w="236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25"/>
        </w:trPr>
        <w:tc>
          <w:tcPr>
            <w:tcW w:w="49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center"/>
              <w:ind w:left="29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center"/>
              <w:ind w:left="43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9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00" w:type="dxa"/>
            <w:vAlign w:val="bottom"/>
          </w:tcPr>
          <w:p>
            <w:pPr>
              <w:spacing w:after="0"/>
              <w:rPr>
                <w:sz w:val="19"/>
                <w:szCs w:val="19"/>
                <w:color w:val="auto"/>
              </w:rPr>
            </w:pPr>
          </w:p>
        </w:tc>
      </w:tr>
      <w:tr>
        <w:trPr>
          <w:trHeight w:val="243"/>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4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16,836</w:t>
            </w: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17,940</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45,851</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52,082</w:t>
            </w:r>
          </w:p>
        </w:tc>
        <w:tc>
          <w:tcPr>
            <w:tcW w:w="100" w:type="dxa"/>
            <w:vAlign w:val="bottom"/>
            <w:shd w:val="clear" w:color="auto" w:fill="CFF0FC"/>
          </w:tcPr>
          <w:p>
            <w:pPr>
              <w:spacing w:after="0"/>
              <w:rPr>
                <w:sz w:val="21"/>
                <w:szCs w:val="21"/>
                <w:color w:val="auto"/>
              </w:rPr>
            </w:pPr>
          </w:p>
        </w:tc>
      </w:tr>
      <w:tr>
        <w:trPr>
          <w:trHeight w:val="241"/>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Items that may be reclassified to the statement of operations:</w:t>
            </w: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Exchange differences on translation of foreign operations</w:t>
            </w: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(962 )</w:t>
            </w: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(2,129 )</w:t>
            </w: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00" w:type="dxa"/>
            <w:vAlign w:val="bottom"/>
          </w:tcPr>
          <w:p>
            <w:pPr>
              <w:spacing w:after="0"/>
              <w:rPr>
                <w:sz w:val="20"/>
                <w:szCs w:val="20"/>
                <w:color w:val="auto"/>
              </w:rPr>
            </w:pPr>
          </w:p>
        </w:tc>
      </w:tr>
      <w:tr>
        <w:trPr>
          <w:trHeight w:val="20"/>
        </w:trPr>
        <w:tc>
          <w:tcPr>
            <w:tcW w:w="4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9"/>
        </w:trPr>
        <w:tc>
          <w:tcPr>
            <w:tcW w:w="49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(962 )</w:t>
            </w:r>
          </w:p>
        </w:tc>
        <w:tc>
          <w:tcPr>
            <w:tcW w:w="4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(2,129 )</w:t>
            </w:r>
          </w:p>
        </w:tc>
        <w:tc>
          <w:tcPr>
            <w:tcW w:w="4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00" w:type="dxa"/>
            <w:vAlign w:val="bottom"/>
            <w:shd w:val="clear" w:color="auto" w:fill="CFF0FC"/>
          </w:tcPr>
          <w:p>
            <w:pPr>
              <w:spacing w:after="0"/>
              <w:rPr>
                <w:sz w:val="20"/>
                <w:szCs w:val="20"/>
                <w:color w:val="auto"/>
              </w:rPr>
            </w:pPr>
          </w:p>
        </w:tc>
      </w:tr>
      <w:tr>
        <w:trPr>
          <w:trHeight w:val="239"/>
        </w:trPr>
        <w:tc>
          <w:tcPr>
            <w:tcW w:w="49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 attributable to Opera shareholders</w:t>
            </w:r>
          </w:p>
        </w:tc>
        <w:tc>
          <w:tcPr>
            <w:tcW w:w="840" w:type="dxa"/>
            <w:vAlign w:val="bottom"/>
            <w:tcBorders>
              <w:top w:val="single" w:sz="8" w:color="CFF0FC"/>
            </w:tcBorders>
          </w:tcPr>
          <w:p>
            <w:pPr>
              <w:spacing w:after="0"/>
              <w:rPr>
                <w:sz w:val="20"/>
                <w:szCs w:val="20"/>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15,874</w:t>
            </w:r>
          </w:p>
        </w:tc>
        <w:tc>
          <w:tcPr>
            <w:tcW w:w="260" w:type="dxa"/>
            <w:vAlign w:val="bottom"/>
            <w:tcBorders>
              <w:top w:val="single" w:sz="8" w:color="CFF0FC"/>
            </w:tcBorders>
          </w:tcPr>
          <w:p>
            <w:pPr>
              <w:spacing w:after="0"/>
              <w:rPr>
                <w:sz w:val="20"/>
                <w:szCs w:val="20"/>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19,409</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43,721</w:t>
            </w:r>
          </w:p>
        </w:tc>
        <w:tc>
          <w:tcPr>
            <w:tcW w:w="240" w:type="dxa"/>
            <w:vAlign w:val="bottom"/>
            <w:tcBorders>
              <w:top w:val="single" w:sz="8" w:color="CFF0FC"/>
            </w:tcBorders>
          </w:tcPr>
          <w:p>
            <w:pPr>
              <w:spacing w:after="0"/>
              <w:rPr>
                <w:sz w:val="20"/>
                <w:szCs w:val="20"/>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53,386</w:t>
            </w:r>
          </w:p>
        </w:tc>
        <w:tc>
          <w:tcPr>
            <w:tcW w:w="100" w:type="dxa"/>
            <w:vAlign w:val="bottom"/>
            <w:tcBorders>
              <w:top w:val="single" w:sz="8" w:color="CFF0FC"/>
            </w:tcBorders>
          </w:tcPr>
          <w:p>
            <w:pPr>
              <w:spacing w:after="0"/>
              <w:rPr>
                <w:sz w:val="20"/>
                <w:szCs w:val="20"/>
                <w:color w:val="auto"/>
              </w:rPr>
            </w:pPr>
          </w:p>
        </w:tc>
      </w:tr>
      <w:tr>
        <w:trPr>
          <w:trHeight w:val="20"/>
        </w:trPr>
        <w:tc>
          <w:tcPr>
            <w:tcW w:w="4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-4799965</wp:posOffset>
            </wp:positionV>
            <wp:extent cx="768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-4799965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-4799965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-4799965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-4474210</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-4474210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-4474210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-4474210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-3848100</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-3848100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-3848100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-3848100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-3522345</wp:posOffset>
            </wp:positionV>
            <wp:extent cx="768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-3522345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-3522345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-3522345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-3196590</wp:posOffset>
            </wp:positionV>
            <wp:extent cx="768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-3179445</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-3196590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-3179445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-3196590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-3179445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-3196590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-3179445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-187960</wp:posOffset>
            </wp:positionV>
            <wp:extent cx="768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Opera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Financial Position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60" w:type="dxa"/>
            <w:vAlign w:val="bottom"/>
          </w:tcPr>
          <w:p>
            <w:pPr>
              <w:spacing w:after="0"/>
              <w:rPr>
                <w:sz w:val="18"/>
                <w:szCs w:val="18"/>
                <w:color w:val="auto"/>
              </w:rPr>
            </w:pPr>
          </w:p>
        </w:tc>
        <w:tc>
          <w:tcPr>
            <w:tcW w:w="17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As of September 30,</w:t>
            </w: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5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and equipment</w:t>
            </w:r>
          </w:p>
        </w:tc>
        <w:tc>
          <w:tcPr>
            <w:tcW w:w="2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16,074</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Goodwill</w:t>
            </w:r>
          </w:p>
        </w:tc>
        <w:tc>
          <w:tcPr>
            <w:tcW w:w="25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429,856</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430,274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Intangible assets</w:t>
            </w:r>
          </w:p>
        </w:tc>
        <w:tc>
          <w:tcPr>
            <w:tcW w:w="2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99,070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Investment in OPay</w:t>
            </w:r>
          </w:p>
        </w:tc>
        <w:tc>
          <w:tcPr>
            <w:tcW w:w="25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253,300</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253,300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non-current investments and financial assets</w:t>
            </w:r>
          </w:p>
        </w:tc>
        <w:tc>
          <w:tcPr>
            <w:tcW w:w="2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Deferred tax assets</w:t>
            </w:r>
          </w:p>
        </w:tc>
        <w:tc>
          <w:tcPr>
            <w:tcW w:w="25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7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802,482</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819,241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Trade receivables</w:t>
            </w:r>
          </w:p>
        </w:tc>
        <w:tc>
          <w:tcPr>
            <w:tcW w:w="25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69,382</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receivables from sale of investments</w:t>
            </w:r>
          </w:p>
        </w:tc>
        <w:tc>
          <w:tcPr>
            <w:tcW w:w="2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current receivables</w:t>
            </w:r>
          </w:p>
        </w:tc>
        <w:tc>
          <w:tcPr>
            <w:tcW w:w="25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7,760</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93,863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current assets</w:t>
            </w:r>
          </w:p>
        </w:tc>
        <w:tc>
          <w:tcPr>
            <w:tcW w:w="25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7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208,461</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1,010,943</w:t>
            </w:r>
          </w:p>
        </w:tc>
        <w:tc>
          <w:tcPr>
            <w:tcW w:w="200" w:type="dxa"/>
            <w:vAlign w:val="bottom"/>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1,012,665</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tcBorders>
          </w:tcPr>
          <w:p>
            <w:pPr>
              <w:spacing w:after="0"/>
              <w:rPr>
                <w:sz w:val="19"/>
                <w:szCs w:val="19"/>
                <w:color w:val="auto"/>
              </w:rPr>
            </w:pPr>
          </w:p>
        </w:tc>
        <w:tc>
          <w:tcPr>
            <w:tcW w:w="256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5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 capital</w:t>
            </w:r>
          </w:p>
        </w:tc>
        <w:tc>
          <w:tcPr>
            <w:tcW w:w="2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paid in capital</w:t>
            </w:r>
          </w:p>
        </w:tc>
        <w:tc>
          <w:tcPr>
            <w:tcW w:w="25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717,610</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647,204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Treasury shares</w:t>
            </w:r>
          </w:p>
        </w:tc>
        <w:tc>
          <w:tcPr>
            <w:tcW w:w="2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(238,815 )</w:t>
            </w:r>
          </w:p>
        </w:tc>
        <w:tc>
          <w:tcPr>
            <w:tcW w:w="160" w:type="dxa"/>
            <w:vAlign w:val="bottom"/>
          </w:tcPr>
          <w:p>
            <w:pPr>
              <w:spacing w:after="0"/>
              <w:rPr>
                <w:sz w:val="20"/>
                <w:szCs w:val="20"/>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(238,815 )</w:t>
            </w:r>
          </w:p>
        </w:tc>
        <w:tc>
          <w:tcPr>
            <w:tcW w:w="0" w:type="dxa"/>
            <w:vAlign w:val="bottom"/>
          </w:tcPr>
          <w:p>
            <w:pPr>
              <w:spacing w:after="0"/>
              <w:rPr>
                <w:sz w:val="1"/>
                <w:szCs w:val="1"/>
                <w:color w:val="auto"/>
              </w:rPr>
            </w:pPr>
          </w:p>
        </w:tc>
      </w:tr>
      <w:tr>
        <w:trPr>
          <w:trHeight w:val="247"/>
        </w:trPr>
        <w:tc>
          <w:tcPr>
            <w:tcW w:w="4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25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445,164</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506,107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reserve</w:t>
            </w:r>
          </w:p>
        </w:tc>
        <w:tc>
          <w:tcPr>
            <w:tcW w:w="2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(4,127 )</w:t>
            </w:r>
          </w:p>
        </w:tc>
        <w:tc>
          <w:tcPr>
            <w:tcW w:w="160" w:type="dxa"/>
            <w:vAlign w:val="bottom"/>
          </w:tcPr>
          <w:p>
            <w:pPr>
              <w:spacing w:after="0"/>
              <w:rPr>
                <w:sz w:val="20"/>
                <w:szCs w:val="20"/>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(2,823 )</w:t>
            </w:r>
          </w:p>
        </w:tc>
        <w:tc>
          <w:tcPr>
            <w:tcW w:w="0" w:type="dxa"/>
            <w:vAlign w:val="bottom"/>
          </w:tcPr>
          <w:p>
            <w:pPr>
              <w:spacing w:after="0"/>
              <w:rPr>
                <w:sz w:val="1"/>
                <w:szCs w:val="1"/>
                <w:color w:val="auto"/>
              </w:rPr>
            </w:pPr>
          </w:p>
        </w:tc>
      </w:tr>
      <w:tr>
        <w:trPr>
          <w:trHeight w:val="238"/>
        </w:trPr>
        <w:tc>
          <w:tcPr>
            <w:tcW w:w="476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Total equity attributable to Opera shareholders</w:t>
            </w:r>
          </w:p>
        </w:tc>
        <w:tc>
          <w:tcPr>
            <w:tcW w:w="25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919,850</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911,692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25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6,776</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5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9,682</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Trade and other payables</w:t>
            </w:r>
          </w:p>
        </w:tc>
        <w:tc>
          <w:tcPr>
            <w:tcW w:w="25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52,247</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63,678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2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Income tax payable</w:t>
            </w:r>
          </w:p>
        </w:tc>
        <w:tc>
          <w:tcPr>
            <w:tcW w:w="25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2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5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13,285</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13,079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7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81,411</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6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5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91,093</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100,973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2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1,010,943</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1,012,665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560" w:type="dxa"/>
            <w:vAlign w:val="bottom"/>
            <w:vMerge w:val="restart"/>
          </w:tcPr>
          <w:p>
            <w:pPr>
              <w:jc w:val="right"/>
              <w:ind w:right="157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76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476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-5348605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-5348605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-4405630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-4405630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-4079875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-4062730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-4079875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-4062730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-2811145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-2811145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-2185035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-2185035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-1242060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-1242060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-916305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Opera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number of shares, 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 2023:</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8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40" w:type="dxa"/>
            <w:vAlign w:val="bottom"/>
            <w:tcBorders>
              <w:bottom w:val="single" w:sz="8" w:color="auto"/>
            </w:tcBorders>
            <w:gridSpan w:val="11"/>
          </w:tcPr>
          <w:p>
            <w:pPr>
              <w:jc w:val="right"/>
              <w:ind w:right="1040"/>
              <w:spacing w:after="0"/>
              <w:rPr>
                <w:sz w:val="20"/>
                <w:szCs w:val="20"/>
                <w:color w:val="auto"/>
              </w:rPr>
            </w:pPr>
            <w:r>
              <w:rPr>
                <w:rFonts w:ascii="Times New Roman" w:cs="Times New Roman" w:eastAsia="Times New Roman" w:hAnsi="Times New Roman"/>
                <w:sz w:val="16"/>
                <w:szCs w:val="16"/>
                <w:b w:val="1"/>
                <w:bCs w:val="1"/>
                <w:color w:val="auto"/>
              </w:rPr>
              <w:t>Equity attributable to Opera shareholders</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0"/>
        </w:trPr>
        <w:tc>
          <w:tcPr>
            <w:tcW w:w="2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Foreign</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of ADSs</w:t>
            </w:r>
          </w:p>
        </w:tc>
        <w:tc>
          <w:tcPr>
            <w:tcW w:w="160" w:type="dxa"/>
            <w:vAlign w:val="bottom"/>
          </w:tcPr>
          <w:p>
            <w:pPr>
              <w:spacing w:after="0"/>
              <w:rPr>
                <w:sz w:val="17"/>
                <w:szCs w:val="17"/>
                <w:color w:val="auto"/>
              </w:rPr>
            </w:pPr>
          </w:p>
        </w:tc>
        <w:tc>
          <w:tcPr>
            <w:tcW w:w="10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20" w:type="dxa"/>
            <w:vAlign w:val="bottom"/>
          </w:tcPr>
          <w:p>
            <w:pPr>
              <w:spacing w:after="0"/>
              <w:rPr>
                <w:sz w:val="17"/>
                <w:szCs w:val="17"/>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paid in</w:t>
            </w:r>
          </w:p>
        </w:tc>
        <w:tc>
          <w:tcPr>
            <w:tcW w:w="14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40" w:type="dxa"/>
            <w:vAlign w:val="bottom"/>
          </w:tcPr>
          <w:p>
            <w:pPr>
              <w:spacing w:after="0"/>
              <w:rPr>
                <w:sz w:val="17"/>
                <w:szCs w:val="17"/>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translation</w:t>
            </w:r>
          </w:p>
        </w:tc>
        <w:tc>
          <w:tcPr>
            <w:tcW w:w="180" w:type="dxa"/>
            <w:vAlign w:val="bottom"/>
          </w:tcPr>
          <w:p>
            <w:pPr>
              <w:spacing w:after="0"/>
              <w:rPr>
                <w:sz w:val="17"/>
                <w:szCs w:val="17"/>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25"/>
        </w:trPr>
        <w:tc>
          <w:tcPr>
            <w:tcW w:w="2860" w:type="dxa"/>
            <w:vAlign w:val="bottom"/>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6"/>
              </w:rPr>
              <w:t>shares</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reserve</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w w:val="98"/>
              </w:rPr>
              <w:t>equity</w:t>
            </w:r>
          </w:p>
        </w:tc>
        <w:tc>
          <w:tcPr>
            <w:tcW w:w="100" w:type="dxa"/>
            <w:vAlign w:val="bottom"/>
          </w:tcPr>
          <w:p>
            <w:pPr>
              <w:spacing w:after="0"/>
              <w:rPr>
                <w:sz w:val="19"/>
                <w:szCs w:val="19"/>
                <w:color w:val="auto"/>
              </w:rPr>
            </w:pPr>
          </w:p>
        </w:tc>
      </w:tr>
      <w:tr>
        <w:trPr>
          <w:trHeight w:val="243"/>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 of January 1, 2023</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89,215,121</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824,832</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(206,514 )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273,263</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(3,385 )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888,213</w:t>
            </w:r>
          </w:p>
        </w:tc>
        <w:tc>
          <w:tcPr>
            <w:tcW w:w="100" w:type="dxa"/>
            <w:vAlign w:val="bottom"/>
            <w:shd w:val="clear" w:color="auto" w:fill="CFF0FC"/>
          </w:tcPr>
          <w:p>
            <w:pPr>
              <w:spacing w:after="0"/>
              <w:rPr>
                <w:sz w:val="21"/>
                <w:szCs w:val="21"/>
                <w:color w:val="auto"/>
              </w:rPr>
            </w:pPr>
          </w:p>
        </w:tc>
      </w:tr>
      <w:tr>
        <w:trPr>
          <w:trHeight w:val="239"/>
        </w:trPr>
        <w:tc>
          <w:tcPr>
            <w:tcW w:w="2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45,851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45,851</w:t>
            </w:r>
          </w:p>
        </w:tc>
        <w:tc>
          <w:tcPr>
            <w:tcW w:w="100" w:type="dxa"/>
            <w:vAlign w:val="bottom"/>
          </w:tcPr>
          <w:p>
            <w:pPr>
              <w:spacing w:after="0"/>
              <w:rPr>
                <w:sz w:val="20"/>
                <w:szCs w:val="20"/>
                <w:color w:val="auto"/>
              </w:rPr>
            </w:pPr>
          </w:p>
        </w:tc>
      </w:tr>
      <w:tr>
        <w:trPr>
          <w:trHeight w:val="247"/>
        </w:trPr>
        <w:tc>
          <w:tcPr>
            <w:tcW w:w="2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0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(2,129 )</w:t>
            </w:r>
          </w:p>
        </w:tc>
        <w:tc>
          <w:tcPr>
            <w:tcW w:w="1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(2,129 )</w:t>
            </w:r>
          </w:p>
        </w:tc>
      </w:tr>
      <w:tr>
        <w:trPr>
          <w:trHeight w:val="211"/>
        </w:trPr>
        <w:tc>
          <w:tcPr>
            <w:tcW w:w="2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Share-based compensation, net of</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tax</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14,046</w:t>
            </w:r>
          </w:p>
        </w:tc>
        <w:tc>
          <w:tcPr>
            <w:tcW w:w="100" w:type="dxa"/>
            <w:vAlign w:val="bottom"/>
          </w:tcPr>
          <w:p>
            <w:pPr>
              <w:spacing w:after="0"/>
              <w:rPr>
                <w:sz w:val="20"/>
                <w:szCs w:val="20"/>
                <w:color w:val="auto"/>
              </w:rPr>
            </w:pPr>
          </w:p>
        </w:tc>
      </w:tr>
      <w:tr>
        <w:trPr>
          <w:trHeight w:val="218"/>
        </w:trPr>
        <w:tc>
          <w:tcPr>
            <w:tcW w:w="2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Issuance of shares upon exercise of</w:t>
            </w: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tcBorders>
              <w:right w:val="single" w:sz="8" w:color="CFF0FC"/>
            </w:tcBorders>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2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RSUs and options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1,068,509</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FF0FC"/>
          </w:tcPr>
          <w:p>
            <w:pPr>
              <w:spacing w:after="0"/>
              <w:rPr>
                <w:sz w:val="21"/>
                <w:szCs w:val="21"/>
                <w:color w:val="auto"/>
              </w:rPr>
            </w:pPr>
          </w:p>
        </w:tc>
      </w:tr>
      <w:tr>
        <w:trPr>
          <w:trHeight w:val="239"/>
        </w:trPr>
        <w:tc>
          <w:tcPr>
            <w:tcW w:w="2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Acquisition of treasury shares</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(1,611,392 )</w:t>
            </w:r>
          </w:p>
        </w:tc>
        <w:tc>
          <w:tcPr>
            <w:tcW w:w="16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(19,694 )</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(19,694 )</w:t>
            </w:r>
          </w:p>
        </w:tc>
      </w:tr>
      <w:tr>
        <w:trPr>
          <w:trHeight w:val="247"/>
        </w:trPr>
        <w:tc>
          <w:tcPr>
            <w:tcW w:w="2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Dividends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(107,222 )</w:t>
            </w:r>
          </w:p>
        </w:tc>
        <w:tc>
          <w:tcPr>
            <w:tcW w:w="1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(107,222 )</w:t>
            </w:r>
          </w:p>
        </w:tc>
      </w:tr>
      <w:tr>
        <w:trPr>
          <w:trHeight w:val="20"/>
        </w:trPr>
        <w:tc>
          <w:tcPr>
            <w:tcW w:w="286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of September 30, 2023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88,672,238</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717,610</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(225,814 )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333,160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(5,515 )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819,458</w:t>
            </w:r>
          </w:p>
        </w:tc>
        <w:tc>
          <w:tcPr>
            <w:tcW w:w="100" w:type="dxa"/>
            <w:vAlign w:val="bottom"/>
          </w:tcPr>
          <w:p>
            <w:pPr>
              <w:spacing w:after="0"/>
              <w:rPr>
                <w:sz w:val="20"/>
                <w:szCs w:val="20"/>
                <w:color w:val="auto"/>
              </w:rPr>
            </w:pPr>
          </w:p>
        </w:tc>
      </w:tr>
      <w:tr>
        <w:trPr>
          <w:trHeight w:val="20"/>
        </w:trPr>
        <w:tc>
          <w:tcPr>
            <w:tcW w:w="28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 the nine months ended September 30, 2024:</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2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11"/>
          </w:tcPr>
          <w:p>
            <w:pPr>
              <w:jc w:val="right"/>
              <w:ind w:right="1020"/>
              <w:spacing w:after="0"/>
              <w:rPr>
                <w:sz w:val="20"/>
                <w:szCs w:val="20"/>
                <w:color w:val="auto"/>
              </w:rPr>
            </w:pPr>
            <w:r>
              <w:rPr>
                <w:rFonts w:ascii="Times New Roman" w:cs="Times New Roman" w:eastAsia="Times New Roman" w:hAnsi="Times New Roman"/>
                <w:sz w:val="16"/>
                <w:szCs w:val="16"/>
                <w:b w:val="1"/>
                <w:bCs w:val="1"/>
                <w:color w:val="auto"/>
              </w:rPr>
              <w:t>Equity attributable to Opera shareholders</w:t>
            </w: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0"/>
        </w:trPr>
        <w:tc>
          <w:tcPr>
            <w:tcW w:w="2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Foreign</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86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of ADSs</w:t>
            </w:r>
          </w:p>
        </w:tc>
        <w:tc>
          <w:tcPr>
            <w:tcW w:w="160" w:type="dxa"/>
            <w:vAlign w:val="bottom"/>
          </w:tcPr>
          <w:p>
            <w:pPr>
              <w:spacing w:after="0"/>
              <w:rPr>
                <w:sz w:val="17"/>
                <w:szCs w:val="17"/>
                <w:color w:val="auto"/>
              </w:rPr>
            </w:pPr>
          </w:p>
        </w:tc>
        <w:tc>
          <w:tcPr>
            <w:tcW w:w="10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20" w:type="dxa"/>
            <w:vAlign w:val="bottom"/>
          </w:tcPr>
          <w:p>
            <w:pPr>
              <w:spacing w:after="0"/>
              <w:rPr>
                <w:sz w:val="17"/>
                <w:szCs w:val="17"/>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paid in</w:t>
            </w:r>
          </w:p>
        </w:tc>
        <w:tc>
          <w:tcPr>
            <w:tcW w:w="14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40" w:type="dxa"/>
            <w:vAlign w:val="bottom"/>
          </w:tcPr>
          <w:p>
            <w:pPr>
              <w:spacing w:after="0"/>
              <w:rPr>
                <w:sz w:val="17"/>
                <w:szCs w:val="17"/>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translation</w:t>
            </w:r>
          </w:p>
        </w:tc>
        <w:tc>
          <w:tcPr>
            <w:tcW w:w="180" w:type="dxa"/>
            <w:vAlign w:val="bottom"/>
          </w:tcPr>
          <w:p>
            <w:pPr>
              <w:spacing w:after="0"/>
              <w:rPr>
                <w:sz w:val="17"/>
                <w:szCs w:val="17"/>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25"/>
        </w:trPr>
        <w:tc>
          <w:tcPr>
            <w:tcW w:w="2860" w:type="dxa"/>
            <w:vAlign w:val="bottom"/>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6"/>
              </w:rPr>
              <w:t>shares</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reserve</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w w:val="98"/>
              </w:rPr>
              <w:t>equity</w:t>
            </w:r>
          </w:p>
        </w:tc>
        <w:tc>
          <w:tcPr>
            <w:tcW w:w="100" w:type="dxa"/>
            <w:vAlign w:val="bottom"/>
          </w:tcPr>
          <w:p>
            <w:pPr>
              <w:spacing w:after="0"/>
              <w:rPr>
                <w:sz w:val="19"/>
                <w:szCs w:val="19"/>
                <w:color w:val="auto"/>
              </w:rPr>
            </w:pPr>
          </w:p>
        </w:tc>
      </w:tr>
      <w:tr>
        <w:trPr>
          <w:trHeight w:val="243"/>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 of January 1, 2024</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87,518,284</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717,610</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(238,815 )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445,164</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(4,127 )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919,850</w:t>
            </w:r>
          </w:p>
        </w:tc>
        <w:tc>
          <w:tcPr>
            <w:tcW w:w="100" w:type="dxa"/>
            <w:vAlign w:val="bottom"/>
            <w:shd w:val="clear" w:color="auto" w:fill="CFF0FC"/>
          </w:tcPr>
          <w:p>
            <w:pPr>
              <w:spacing w:after="0"/>
              <w:rPr>
                <w:sz w:val="21"/>
                <w:szCs w:val="21"/>
                <w:color w:val="auto"/>
              </w:rPr>
            </w:pPr>
          </w:p>
        </w:tc>
      </w:tr>
      <w:tr>
        <w:trPr>
          <w:trHeight w:val="239"/>
        </w:trPr>
        <w:tc>
          <w:tcPr>
            <w:tcW w:w="2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52,082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52,082</w:t>
            </w:r>
          </w:p>
        </w:tc>
        <w:tc>
          <w:tcPr>
            <w:tcW w:w="100" w:type="dxa"/>
            <w:vAlign w:val="bottom"/>
          </w:tcPr>
          <w:p>
            <w:pPr>
              <w:spacing w:after="0"/>
              <w:rPr>
                <w:sz w:val="20"/>
                <w:szCs w:val="20"/>
                <w:color w:val="auto"/>
              </w:rPr>
            </w:pPr>
          </w:p>
        </w:tc>
      </w:tr>
      <w:tr>
        <w:trPr>
          <w:trHeight w:val="247"/>
        </w:trPr>
        <w:tc>
          <w:tcPr>
            <w:tcW w:w="2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0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00" w:type="dxa"/>
            <w:vAlign w:val="bottom"/>
            <w:shd w:val="clear" w:color="auto" w:fill="CFF0FC"/>
          </w:tcPr>
          <w:p>
            <w:pPr>
              <w:spacing w:after="0"/>
              <w:rPr>
                <w:sz w:val="21"/>
                <w:szCs w:val="21"/>
                <w:color w:val="auto"/>
              </w:rPr>
            </w:pPr>
          </w:p>
        </w:tc>
      </w:tr>
      <w:tr>
        <w:trPr>
          <w:trHeight w:val="211"/>
        </w:trPr>
        <w:tc>
          <w:tcPr>
            <w:tcW w:w="2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Share-based compensation, net of</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tax</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8,861</w:t>
            </w:r>
          </w:p>
        </w:tc>
        <w:tc>
          <w:tcPr>
            <w:tcW w:w="100" w:type="dxa"/>
            <w:vAlign w:val="bottom"/>
          </w:tcPr>
          <w:p>
            <w:pPr>
              <w:spacing w:after="0"/>
              <w:rPr>
                <w:sz w:val="20"/>
                <w:szCs w:val="20"/>
                <w:color w:val="auto"/>
              </w:rPr>
            </w:pPr>
          </w:p>
        </w:tc>
      </w:tr>
      <w:tr>
        <w:trPr>
          <w:trHeight w:val="218"/>
        </w:trPr>
        <w:tc>
          <w:tcPr>
            <w:tcW w:w="2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Issuance of shares upon exercise of</w:t>
            </w: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tcBorders>
              <w:right w:val="single" w:sz="8" w:color="CFF0FC"/>
            </w:tcBorders>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2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RSUs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961,870</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Dividends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(70,406 )</w:t>
            </w:r>
          </w:p>
        </w:tc>
        <w:tc>
          <w:tcPr>
            <w:tcW w:w="1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(70,406 )</w:t>
            </w:r>
          </w:p>
        </w:tc>
      </w:tr>
      <w:tr>
        <w:trPr>
          <w:trHeight w:val="20"/>
        </w:trPr>
        <w:tc>
          <w:tcPr>
            <w:tcW w:w="28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 of September 30, 2024</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88,480,154</w:t>
            </w:r>
          </w:p>
        </w:tc>
        <w:tc>
          <w:tcPr>
            <w:tcW w:w="240" w:type="dxa"/>
            <w:vAlign w:val="bottom"/>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Borders>
              <w:right w:val="single" w:sz="8" w:color="CFF0FC"/>
            </w:tcBorders>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647,204</w:t>
            </w:r>
          </w:p>
        </w:tc>
        <w:tc>
          <w:tcPr>
            <w:tcW w:w="22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(238,815 )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506,107</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(2,823 )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911,692</w:t>
            </w:r>
          </w:p>
        </w:tc>
        <w:tc>
          <w:tcPr>
            <w:tcW w:w="100" w:type="dxa"/>
            <w:vAlign w:val="bottom"/>
            <w:shd w:val="clear" w:color="auto" w:fill="CFF0FC"/>
          </w:tcPr>
          <w:p>
            <w:pPr>
              <w:spacing w:after="0"/>
              <w:rPr>
                <w:sz w:val="24"/>
                <w:szCs w:val="24"/>
                <w:color w:val="auto"/>
              </w:rPr>
            </w:pPr>
          </w:p>
        </w:tc>
      </w:tr>
      <w:tr>
        <w:trPr>
          <w:trHeight w:val="602"/>
        </w:trPr>
        <w:tc>
          <w:tcPr>
            <w:tcW w:w="2860" w:type="dxa"/>
            <w:vAlign w:val="bottom"/>
            <w:tcBorders>
              <w:top w:val="single" w:sz="8" w:color="CFF0FC"/>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ind w:right="653"/>
              <w:spacing w:after="0"/>
              <w:rPr>
                <w:sz w:val="20"/>
                <w:szCs w:val="20"/>
                <w:color w:val="auto"/>
              </w:rPr>
            </w:pPr>
            <w:r>
              <w:rPr>
                <w:rFonts w:ascii="Times New Roman" w:cs="Times New Roman" w:eastAsia="Times New Roman" w:hAnsi="Times New Roman"/>
                <w:sz w:val="18"/>
                <w:szCs w:val="18"/>
                <w:color w:val="auto"/>
                <w:w w:val="88"/>
              </w:rPr>
              <w:t>7</w:t>
            </w: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506"/>
        </w:trPr>
        <w:tc>
          <w:tcPr>
            <w:tcW w:w="28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-3411220</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-3411220</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-3411220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-3411220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-3411220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-3411220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-3411220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-753745</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-736600</wp:posOffset>
            </wp:positionV>
            <wp:extent cx="768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-753745</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-736600</wp:posOffset>
            </wp:positionV>
            <wp:extent cx="768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-753745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-736600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-753745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-736600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-753745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-736600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-753745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-736600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Opera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40" w:type="dxa"/>
            <w:vAlign w:val="bottom"/>
            <w:gridSpan w:val="5"/>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7"/>
                <w:szCs w:val="17"/>
                <w:color w:val="auto"/>
              </w:rPr>
            </w:pPr>
          </w:p>
        </w:tc>
        <w:tc>
          <w:tcPr>
            <w:tcW w:w="2360" w:type="dxa"/>
            <w:vAlign w:val="bottom"/>
            <w:gridSpan w:val="5"/>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25"/>
        </w:trPr>
        <w:tc>
          <w:tcPr>
            <w:tcW w:w="5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00" w:type="dxa"/>
            <w:vAlign w:val="bottom"/>
          </w:tcPr>
          <w:p>
            <w:pPr>
              <w:spacing w:after="0"/>
              <w:rPr>
                <w:sz w:val="19"/>
                <w:szCs w:val="19"/>
                <w:color w:val="auto"/>
              </w:rPr>
            </w:pPr>
          </w:p>
        </w:tc>
      </w:tr>
      <w:tr>
        <w:trPr>
          <w:trHeight w:val="243"/>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17,054</w:t>
            </w:r>
          </w:p>
        </w:tc>
        <w:tc>
          <w:tcPr>
            <w:tcW w:w="26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22,786</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50,485</w:t>
            </w:r>
          </w:p>
        </w:tc>
        <w:tc>
          <w:tcPr>
            <w:tcW w:w="24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64,382</w:t>
            </w:r>
          </w:p>
        </w:tc>
        <w:tc>
          <w:tcPr>
            <w:tcW w:w="100" w:type="dxa"/>
            <w:vAlign w:val="bottom"/>
          </w:tcPr>
          <w:p>
            <w:pPr>
              <w:spacing w:after="0"/>
              <w:rPr>
                <w:sz w:val="20"/>
                <w:szCs w:val="20"/>
                <w:color w:val="auto"/>
              </w:rPr>
            </w:pPr>
          </w:p>
        </w:tc>
      </w:tr>
      <w:tr>
        <w:trPr>
          <w:trHeight w:val="213"/>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i w:val="1"/>
                <w:iCs w:val="1"/>
                <w:color w:val="auto"/>
              </w:rPr>
              <w:t>Adjustments to reconcile income before income taxes to net cash flow from</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50"/>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i w:val="1"/>
                <w:iCs w:val="1"/>
                <w:color w:val="auto"/>
              </w:rPr>
              <w:t>operating activities:</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finance (income) expense</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(976 )</w:t>
            </w: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(7,922 )</w:t>
            </w: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1"/>
                <w:szCs w:val="21"/>
                <w:color w:val="auto"/>
              </w:rPr>
            </w:pPr>
          </w:p>
        </w:tc>
      </w:tr>
      <w:tr>
        <w:trPr>
          <w:trHeight w:val="239"/>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9,940</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11,229</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10,989</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7,775</w:t>
            </w:r>
          </w:p>
        </w:tc>
        <w:tc>
          <w:tcPr>
            <w:tcW w:w="100" w:type="dxa"/>
            <w:vAlign w:val="bottom"/>
            <w:shd w:val="clear" w:color="auto" w:fill="CFF0FC"/>
          </w:tcPr>
          <w:p>
            <w:pPr>
              <w:spacing w:after="0"/>
              <w:rPr>
                <w:sz w:val="21"/>
                <w:szCs w:val="21"/>
                <w:color w:val="auto"/>
              </w:rPr>
            </w:pPr>
          </w:p>
        </w:tc>
      </w:tr>
      <w:tr>
        <w:trPr>
          <w:trHeight w:val="239"/>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adjustments</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(273 )</w:t>
            </w:r>
          </w:p>
        </w:tc>
        <w:tc>
          <w:tcPr>
            <w:tcW w:w="4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(300 )</w:t>
            </w:r>
          </w:p>
        </w:tc>
        <w:tc>
          <w:tcPr>
            <w:tcW w:w="2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(65 )</w:t>
            </w: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i w:val="1"/>
                <w:iCs w:val="1"/>
                <w:color w:val="auto"/>
              </w:rPr>
              <w:t>Changes in working capital:</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(5,097 )</w:t>
            </w:r>
          </w:p>
        </w:tc>
        <w:tc>
          <w:tcPr>
            <w:tcW w:w="4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(8,519 )</w:t>
            </w:r>
          </w:p>
        </w:tc>
        <w:tc>
          <w:tcPr>
            <w:tcW w:w="2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(3,059 )</w:t>
            </w:r>
          </w:p>
        </w:tc>
        <w:tc>
          <w:tcPr>
            <w:tcW w:w="4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(1,987 )</w:t>
            </w:r>
          </w:p>
        </w:tc>
      </w:tr>
      <w:tr>
        <w:trPr>
          <w:trHeight w:val="247"/>
        </w:trPr>
        <w:tc>
          <w:tcPr>
            <w:tcW w:w="5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(1,279 )</w:t>
            </w:r>
          </w:p>
        </w:tc>
        <w:tc>
          <w:tcPr>
            <w:tcW w:w="4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(136 )</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(1,693 )</w:t>
            </w:r>
          </w:p>
        </w:tc>
        <w:tc>
          <w:tcPr>
            <w:tcW w:w="4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shd w:val="clear" w:color="auto" w:fill="CFF0FC"/>
          </w:tcPr>
          <w:p>
            <w:pPr>
              <w:spacing w:after="0"/>
              <w:rPr>
                <w:sz w:val="21"/>
                <w:szCs w:val="21"/>
                <w:color w:val="auto"/>
              </w:rPr>
            </w:pPr>
          </w:p>
        </w:tc>
      </w:tr>
      <w:tr>
        <w:trPr>
          <w:trHeight w:val="239"/>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Trade and other payables</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(407 )</w:t>
            </w: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10,686</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(102 )</w:t>
            </w: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11,432</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(1,657 )</w:t>
            </w:r>
          </w:p>
        </w:tc>
        <w:tc>
          <w:tcPr>
            <w:tcW w:w="4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(1,658 )</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(6,800 )</w:t>
            </w:r>
          </w:p>
        </w:tc>
      </w:tr>
      <w:tr>
        <w:trPr>
          <w:trHeight w:val="239"/>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(231 )</w:t>
            </w:r>
          </w:p>
        </w:tc>
      </w:tr>
      <w:tr>
        <w:trPr>
          <w:trHeight w:val="247"/>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taxes paid</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(470 )</w:t>
            </w:r>
          </w:p>
        </w:tc>
        <w:tc>
          <w:tcPr>
            <w:tcW w:w="4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(87 )</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(4,022 )</w:t>
            </w:r>
          </w:p>
        </w:tc>
        <w:tc>
          <w:tcPr>
            <w:tcW w:w="4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(4,268 )</w:t>
            </w:r>
          </w:p>
        </w:tc>
      </w:tr>
      <w:tr>
        <w:trPr>
          <w:trHeight w:val="236"/>
        </w:trPr>
        <w:tc>
          <w:tcPr>
            <w:tcW w:w="5540" w:type="dxa"/>
            <w:vAlign w:val="bottom"/>
            <w:tcBorders>
              <w:top w:val="single" w:sz="8" w:color="CFF0FC"/>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Net cash flow from operating activities</w:t>
            </w:r>
          </w:p>
        </w:tc>
        <w:tc>
          <w:tcPr>
            <w:tcW w:w="28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16,233</w:t>
            </w:r>
          </w:p>
        </w:tc>
        <w:tc>
          <w:tcPr>
            <w:tcW w:w="260" w:type="dxa"/>
            <w:vAlign w:val="bottom"/>
            <w:tcBorders>
              <w:top w:val="single" w:sz="8" w:color="CFF0FC"/>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34,896</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57,477</w:t>
            </w:r>
          </w:p>
        </w:tc>
        <w:tc>
          <w:tcPr>
            <w:tcW w:w="240" w:type="dxa"/>
            <w:vAlign w:val="bottom"/>
            <w:tcBorders>
              <w:top w:val="single" w:sz="8" w:color="CFF0FC"/>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83,334</w:t>
            </w:r>
          </w:p>
        </w:tc>
        <w:tc>
          <w:tcPr>
            <w:tcW w:w="100" w:type="dxa"/>
            <w:vAlign w:val="bottom"/>
            <w:tcBorders>
              <w:top w:val="single" w:sz="8" w:color="CFF0FC"/>
            </w:tcBorders>
          </w:tcPr>
          <w:p>
            <w:pPr>
              <w:spacing w:after="0"/>
              <w:rPr>
                <w:sz w:val="20"/>
                <w:szCs w:val="20"/>
                <w:color w:val="auto"/>
              </w:rPr>
            </w:pPr>
          </w:p>
        </w:tc>
      </w:tr>
      <w:tr>
        <w:trPr>
          <w:trHeight w:val="237"/>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equipment</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(741 )</w:t>
            </w:r>
          </w:p>
        </w:tc>
        <w:tc>
          <w:tcPr>
            <w:tcW w:w="4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(1,845 )</w:t>
            </w:r>
          </w:p>
        </w:tc>
        <w:tc>
          <w:tcPr>
            <w:tcW w:w="2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(1,279 )</w:t>
            </w:r>
          </w:p>
        </w:tc>
        <w:tc>
          <w:tcPr>
            <w:tcW w:w="4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(23,310 )</w:t>
            </w:r>
          </w:p>
        </w:tc>
      </w:tr>
      <w:tr>
        <w:trPr>
          <w:trHeight w:val="247"/>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Development expenditure</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(1,189 )</w:t>
            </w:r>
          </w:p>
        </w:tc>
        <w:tc>
          <w:tcPr>
            <w:tcW w:w="4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(2,271 )</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(3,304 )</w:t>
            </w:r>
          </w:p>
        </w:tc>
        <w:tc>
          <w:tcPr>
            <w:tcW w:w="4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(5,391 )</w:t>
            </w:r>
          </w:p>
        </w:tc>
      </w:tr>
      <w:tr>
        <w:trPr>
          <w:trHeight w:val="239"/>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 of long-term investments</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0"/>
                <w:szCs w:val="20"/>
                <w:color w:val="auto"/>
              </w:rPr>
            </w:pPr>
          </w:p>
        </w:tc>
      </w:tr>
      <w:tr>
        <w:trPr>
          <w:trHeight w:val="247"/>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sale of short-term investments</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23,414</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received</w:t>
            </w:r>
          </w:p>
        </w:tc>
        <w:tc>
          <w:tcPr>
            <w:tcW w:w="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2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2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00" w:type="dxa"/>
            <w:vAlign w:val="bottom"/>
          </w:tcPr>
          <w:p>
            <w:pPr>
              <w:spacing w:after="0"/>
              <w:rPr>
                <w:sz w:val="21"/>
                <w:szCs w:val="21"/>
                <w:color w:val="auto"/>
              </w:rPr>
            </w:pPr>
          </w:p>
        </w:tc>
      </w:tr>
      <w:tr>
        <w:trPr>
          <w:trHeight w:val="237"/>
        </w:trPr>
        <w:tc>
          <w:tcPr>
            <w:tcW w:w="5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Net cash flow from (used in) investing activities</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(1,090 )</w:t>
            </w:r>
          </w:p>
        </w:tc>
        <w:tc>
          <w:tcPr>
            <w:tcW w:w="4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(3,343 )</w:t>
            </w: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21,105</w:t>
            </w: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(25,784 )</w:t>
            </w:r>
          </w:p>
        </w:tc>
      </w:tr>
      <w:tr>
        <w:trPr>
          <w:trHeight w:val="234"/>
        </w:trPr>
        <w:tc>
          <w:tcPr>
            <w:tcW w:w="55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5"/>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Acquisition of treasury shares</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(17,230 )</w:t>
            </w:r>
          </w:p>
        </w:tc>
        <w:tc>
          <w:tcPr>
            <w:tcW w:w="4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(19,694 )</w:t>
            </w:r>
          </w:p>
        </w:tc>
        <w:tc>
          <w:tcPr>
            <w:tcW w:w="4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Dividends paid</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(10,832 )</w:t>
            </w:r>
          </w:p>
        </w:tc>
        <w:tc>
          <w:tcPr>
            <w:tcW w:w="4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(27,569 )</w:t>
            </w:r>
          </w:p>
        </w:tc>
        <w:tc>
          <w:tcPr>
            <w:tcW w:w="2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(23,105 )</w:t>
            </w:r>
          </w:p>
        </w:tc>
        <w:tc>
          <w:tcPr>
            <w:tcW w:w="4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(37,443 )</w:t>
            </w:r>
          </w:p>
        </w:tc>
      </w:tr>
      <w:tr>
        <w:trPr>
          <w:trHeight w:val="247"/>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Proceeds from exercise of share options</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Repayment of borrowings</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(46 )</w:t>
            </w:r>
          </w:p>
        </w:tc>
        <w:tc>
          <w:tcPr>
            <w:tcW w:w="40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(203 )</w:t>
            </w:r>
          </w:p>
        </w:tc>
        <w:tc>
          <w:tcPr>
            <w:tcW w:w="4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Payment of lease liabilities</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(884 )</w:t>
            </w:r>
          </w:p>
        </w:tc>
        <w:tc>
          <w:tcPr>
            <w:tcW w:w="4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(1,041 )</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(2,943 )</w:t>
            </w:r>
          </w:p>
        </w:tc>
        <w:tc>
          <w:tcPr>
            <w:tcW w:w="4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(3,078 )</w:t>
            </w:r>
          </w:p>
        </w:tc>
      </w:tr>
      <w:tr>
        <w:trPr>
          <w:trHeight w:val="243"/>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paid</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(92 )</w:t>
            </w:r>
          </w:p>
        </w:tc>
        <w:tc>
          <w:tcPr>
            <w:tcW w:w="40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(117 )</w:t>
            </w:r>
          </w:p>
        </w:tc>
        <w:tc>
          <w:tcPr>
            <w:tcW w:w="26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(243 )</w:t>
            </w:r>
          </w:p>
        </w:tc>
        <w:tc>
          <w:tcPr>
            <w:tcW w:w="40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(389 )</w:t>
            </w:r>
          </w:p>
        </w:tc>
      </w:tr>
      <w:tr>
        <w:trPr>
          <w:trHeight w:val="20"/>
        </w:trPr>
        <w:tc>
          <w:tcPr>
            <w:tcW w:w="5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Net cash flow used in financing activities</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(29,084 )</w:t>
            </w:r>
          </w:p>
        </w:tc>
        <w:tc>
          <w:tcPr>
            <w:tcW w:w="4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(28,726 )</w:t>
            </w:r>
          </w:p>
        </w:tc>
        <w:tc>
          <w:tcPr>
            <w:tcW w:w="2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(45,795 )</w:t>
            </w:r>
          </w:p>
        </w:tc>
        <w:tc>
          <w:tcPr>
            <w:tcW w:w="4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(40,910 )</w:t>
            </w:r>
          </w:p>
        </w:tc>
      </w:tr>
      <w:tr>
        <w:trPr>
          <w:trHeight w:val="20"/>
        </w:trPr>
        <w:tc>
          <w:tcPr>
            <w:tcW w:w="55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(13,942 )</w:t>
            </w: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32,786</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16,640</w:t>
            </w:r>
          </w:p>
        </w:tc>
        <w:tc>
          <w:tcPr>
            <w:tcW w:w="100" w:type="dxa"/>
            <w:vAlign w:val="bottom"/>
          </w:tcPr>
          <w:p>
            <w:pPr>
              <w:spacing w:after="0"/>
              <w:rPr>
                <w:sz w:val="20"/>
                <w:szCs w:val="20"/>
                <w:color w:val="auto"/>
              </w:rPr>
            </w:pPr>
          </w:p>
        </w:tc>
      </w:tr>
      <w:tr>
        <w:trPr>
          <w:trHeight w:val="237"/>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8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98,155</w:t>
            </w:r>
          </w:p>
        </w:tc>
        <w:tc>
          <w:tcPr>
            <w:tcW w:w="26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104,356</w:t>
            </w:r>
          </w:p>
        </w:tc>
        <w:tc>
          <w:tcPr>
            <w:tcW w:w="2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52,414</w:t>
            </w:r>
          </w:p>
        </w:tc>
        <w:tc>
          <w:tcPr>
            <w:tcW w:w="24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93,863</w:t>
            </w:r>
          </w:p>
        </w:tc>
        <w:tc>
          <w:tcPr>
            <w:tcW w:w="100" w:type="dxa"/>
            <w:vAlign w:val="bottom"/>
            <w:shd w:val="clear" w:color="auto" w:fill="CFF0FC"/>
          </w:tcPr>
          <w:p>
            <w:pPr>
              <w:spacing w:after="0"/>
              <w:rPr>
                <w:sz w:val="20"/>
                <w:szCs w:val="20"/>
                <w:color w:val="auto"/>
              </w:rPr>
            </w:pP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(709 )</w:t>
            </w:r>
          </w:p>
        </w:tc>
        <w:tc>
          <w:tcPr>
            <w:tcW w:w="40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(1,177 )</w:t>
            </w:r>
          </w:p>
        </w:tc>
        <w:tc>
          <w:tcPr>
            <w:tcW w:w="26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(1,696 )</w:t>
            </w:r>
          </w:p>
        </w:tc>
        <w:tc>
          <w:tcPr>
            <w:tcW w:w="40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(4,498 )</w:t>
            </w:r>
          </w:p>
        </w:tc>
      </w:tr>
      <w:tr>
        <w:trPr>
          <w:trHeight w:val="277"/>
        </w:trPr>
        <w:tc>
          <w:tcPr>
            <w:tcW w:w="5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2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83,505</w:t>
            </w:r>
          </w:p>
        </w:tc>
        <w:tc>
          <w:tcPr>
            <w:tcW w:w="26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106,005</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83,505</w:t>
            </w:r>
          </w:p>
        </w:tc>
        <w:tc>
          <w:tcPr>
            <w:tcW w:w="24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106,005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01"/>
        </w:trPr>
        <w:tc>
          <w:tcPr>
            <w:tcW w:w="554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6"/>
        </w:trPr>
        <w:tc>
          <w:tcPr>
            <w:tcW w:w="5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-3908425</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-3908425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-3908425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-3908425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-2647950</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-2647950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-2647950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-1396365</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-1396365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-1396365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-1396365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-753745</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-736600</wp:posOffset>
            </wp:positionV>
            <wp:extent cx="768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-753745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-736600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-753745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-736600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Opera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Financial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 disaggregated by type: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gridSpan w:val="4"/>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6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25"/>
        </w:trPr>
        <w:tc>
          <w:tcPr>
            <w:tcW w:w="58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8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00" w:type="dxa"/>
            <w:vAlign w:val="bottom"/>
          </w:tcPr>
          <w:p>
            <w:pPr>
              <w:spacing w:after="0"/>
              <w:rPr>
                <w:sz w:val="19"/>
                <w:szCs w:val="19"/>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60,800</w:t>
            </w:r>
          </w:p>
        </w:tc>
        <w:tc>
          <w:tcPr>
            <w:tcW w:w="6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76,844</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163,147</w:t>
            </w:r>
          </w:p>
        </w:tc>
        <w:tc>
          <w:tcPr>
            <w:tcW w:w="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200,123</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Search</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40,820</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46,265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117,464</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133,951</w:t>
            </w:r>
          </w:p>
        </w:tc>
        <w:tc>
          <w:tcPr>
            <w:tcW w:w="100" w:type="dxa"/>
            <w:vAlign w:val="bottom"/>
          </w:tcPr>
          <w:p>
            <w:pPr>
              <w:spacing w:after="0"/>
              <w:rPr>
                <w:sz w:val="20"/>
                <w:szCs w:val="20"/>
                <w:color w:val="auto"/>
              </w:rPr>
            </w:pPr>
          </w:p>
        </w:tc>
      </w:tr>
      <w:tr>
        <w:trPr>
          <w:trHeight w:val="247"/>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Technology licensing and other revenue</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2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2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102,639</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123,210</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283,824</w:t>
            </w: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334,815</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-187960</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Personnel Expenses Including Share-based Compensation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specifies personnel expenses including share-based compensation:</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40" w:type="dxa"/>
            <w:vAlign w:val="bottom"/>
            <w:gridSpan w:val="5"/>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7"/>
                <w:szCs w:val="17"/>
                <w:color w:val="auto"/>
              </w:rPr>
            </w:pPr>
          </w:p>
        </w:tc>
        <w:tc>
          <w:tcPr>
            <w:tcW w:w="2360" w:type="dxa"/>
            <w:vAlign w:val="bottom"/>
            <w:gridSpan w:val="5"/>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25"/>
        </w:trPr>
        <w:tc>
          <w:tcPr>
            <w:tcW w:w="58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Personnel expenses, excluding share-based compensation</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(17,488 )</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(19,069 )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(49,747 )</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(53,232 )</w:t>
            </w:r>
          </w:p>
        </w:tc>
        <w:tc>
          <w:tcPr>
            <w:tcW w:w="0" w:type="dxa"/>
            <w:vAlign w:val="bottom"/>
          </w:tcPr>
          <w:p>
            <w:pPr>
              <w:spacing w:after="0"/>
              <w:rPr>
                <w:sz w:val="1"/>
                <w:szCs w:val="1"/>
                <w:color w:val="auto"/>
              </w:rPr>
            </w:pPr>
          </w:p>
        </w:tc>
      </w:tr>
      <w:tr>
        <w:trPr>
          <w:trHeight w:val="243"/>
        </w:trPr>
        <w:tc>
          <w:tcPr>
            <w:tcW w:w="58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Share-based compensation expense for Opera-granted awards </w:t>
            </w:r>
            <w:r>
              <w:rPr>
                <w:rFonts w:ascii="Times New Roman" w:cs="Times New Roman" w:eastAsia="Times New Roman" w:hAnsi="Times New Roman"/>
                <w:sz w:val="24"/>
                <w:szCs w:val="24"/>
                <w:color w:val="auto"/>
                <w:vertAlign w:val="superscript"/>
              </w:rPr>
              <w:t>(1)</w:t>
            </w:r>
          </w:p>
        </w:tc>
        <w:tc>
          <w:tcPr>
            <w:tcW w:w="26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(1,179 )</w:t>
            </w:r>
          </w:p>
        </w:tc>
        <w:tc>
          <w:tcPr>
            <w:tcW w:w="40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(2,526 )</w:t>
            </w:r>
          </w:p>
        </w:tc>
        <w:tc>
          <w:tcPr>
            <w:tcW w:w="26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(7,614 )</w:t>
            </w:r>
          </w:p>
        </w:tc>
        <w:tc>
          <w:tcPr>
            <w:tcW w:w="40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(4,258 )</w:t>
            </w: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Share-based compensation expense for parent-granted awards </w:t>
            </w:r>
            <w:r>
              <w:rPr>
                <w:rFonts w:ascii="Times New Roman" w:cs="Times New Roman" w:eastAsia="Times New Roman" w:hAnsi="Times New Roman"/>
                <w:sz w:val="24"/>
                <w:szCs w:val="24"/>
                <w:color w:val="auto"/>
                <w:vertAlign w:val="superscript"/>
              </w:rPr>
              <w:t>(2)</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(2,043 )</w:t>
            </w:r>
          </w:p>
        </w:tc>
        <w:tc>
          <w:tcPr>
            <w:tcW w:w="4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(1,589 )</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(4,771 )</w:t>
            </w:r>
          </w:p>
        </w:tc>
        <w:tc>
          <w:tcPr>
            <w:tcW w:w="4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(4,399 )</w:t>
            </w: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personnel expenses including share-based compensation</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(20,710 )</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(23,184 )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(62,133 )</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(61,889 )</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-325120</wp:posOffset>
            </wp:positionV>
            <wp:extent cx="768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-325120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-325120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380" w:hanging="372"/>
        <w:spacing w:after="0"/>
        <w:tabs>
          <w:tab w:leader="none" w:pos="3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social security contributions payable in connection with equity awards is presented as part of the share-based compensation expense.</w:t>
      </w:r>
    </w:p>
    <w:p>
      <w:pPr>
        <w:spacing w:after="0" w:line="12" w:lineRule="exact"/>
        <w:rPr>
          <w:rFonts w:ascii="Times New Roman" w:cs="Times New Roman" w:eastAsia="Times New Roman" w:hAnsi="Times New Roman"/>
          <w:sz w:val="16"/>
          <w:szCs w:val="16"/>
          <w:color w:val="auto"/>
        </w:rPr>
      </w:pPr>
    </w:p>
    <w:p>
      <w:pPr>
        <w:ind w:left="380" w:right="560" w:hanging="372"/>
        <w:spacing w:after="0" w:line="288" w:lineRule="auto"/>
        <w:tabs>
          <w:tab w:leader="none" w:pos="3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Kunlun, the ultimate parent of Opera, has granted equity awards to Opera employees as compensation for services provided to Opera. Opera does not have any obligation to settle the awards granted by Kunlun and such awards do not lead to dilution for Opera shareholders.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Operating Expenses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specifies other operating expenses: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40" w:type="dxa"/>
            <w:vAlign w:val="bottom"/>
            <w:gridSpan w:val="5"/>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7"/>
                <w:szCs w:val="17"/>
                <w:color w:val="auto"/>
              </w:rPr>
            </w:pPr>
          </w:p>
        </w:tc>
        <w:tc>
          <w:tcPr>
            <w:tcW w:w="2360" w:type="dxa"/>
            <w:vAlign w:val="bottom"/>
            <w:gridSpan w:val="5"/>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25"/>
        </w:trPr>
        <w:tc>
          <w:tcPr>
            <w:tcW w:w="4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00" w:type="dxa"/>
            <w:vAlign w:val="bottom"/>
          </w:tcPr>
          <w:p>
            <w:pPr>
              <w:spacing w:after="0"/>
              <w:rPr>
                <w:sz w:val="19"/>
                <w:szCs w:val="19"/>
                <w:color w:val="auto"/>
              </w:rPr>
            </w:pPr>
          </w:p>
        </w:tc>
      </w:tr>
      <w:tr>
        <w:trPr>
          <w:trHeight w:val="243"/>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Hosting</w:t>
            </w:r>
          </w:p>
        </w:tc>
        <w:tc>
          <w:tcPr>
            <w:tcW w:w="18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(2,580 )</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(3,417 )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(7,612 )</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(9,234 )</w:t>
            </w:r>
          </w:p>
        </w:tc>
      </w:tr>
      <w:tr>
        <w:trPr>
          <w:trHeight w:val="23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 legal and other advisory services</w:t>
            </w:r>
          </w:p>
        </w:tc>
        <w:tc>
          <w:tcPr>
            <w:tcW w:w="1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(1,881 )</w:t>
            </w:r>
          </w:p>
        </w:tc>
        <w:tc>
          <w:tcPr>
            <w:tcW w:w="4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(1,600 )</w:t>
            </w:r>
          </w:p>
        </w:tc>
        <w:tc>
          <w:tcPr>
            <w:tcW w:w="2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(5,118 )</w:t>
            </w:r>
          </w:p>
        </w:tc>
        <w:tc>
          <w:tcPr>
            <w:tcW w:w="4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(5,788 )</w:t>
            </w:r>
          </w:p>
        </w:tc>
      </w:tr>
      <w:tr>
        <w:trPr>
          <w:trHeight w:val="247"/>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Software license fees</w:t>
            </w:r>
          </w:p>
        </w:tc>
        <w:tc>
          <w:tcPr>
            <w:tcW w:w="16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(962 )</w:t>
            </w:r>
          </w:p>
        </w:tc>
        <w:tc>
          <w:tcPr>
            <w:tcW w:w="4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(804 )</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(2,429 )</w:t>
            </w:r>
          </w:p>
        </w:tc>
        <w:tc>
          <w:tcPr>
            <w:tcW w:w="4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(3,256 )</w:t>
            </w:r>
          </w:p>
        </w:tc>
      </w:tr>
      <w:tr>
        <w:trPr>
          <w:trHeight w:val="23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 and other office expenses</w:t>
            </w:r>
          </w:p>
        </w:tc>
        <w:tc>
          <w:tcPr>
            <w:tcW w:w="1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(810 )</w:t>
            </w:r>
          </w:p>
        </w:tc>
        <w:tc>
          <w:tcPr>
            <w:tcW w:w="4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(593 )</w:t>
            </w:r>
          </w:p>
        </w:tc>
        <w:tc>
          <w:tcPr>
            <w:tcW w:w="2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(2,036 )</w:t>
            </w:r>
          </w:p>
        </w:tc>
        <w:tc>
          <w:tcPr>
            <w:tcW w:w="4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(1,764 )</w:t>
            </w:r>
          </w:p>
        </w:tc>
      </w:tr>
      <w:tr>
        <w:trPr>
          <w:trHeight w:val="247"/>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16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(454 )</w:t>
            </w:r>
          </w:p>
        </w:tc>
        <w:tc>
          <w:tcPr>
            <w:tcW w:w="4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(518 )</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(1,324 )</w:t>
            </w:r>
          </w:p>
        </w:tc>
        <w:tc>
          <w:tcPr>
            <w:tcW w:w="4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(1,465 )</w:t>
            </w:r>
          </w:p>
        </w:tc>
      </w:tr>
      <w:tr>
        <w:trPr>
          <w:trHeight w:val="24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(865 )</w:t>
            </w:r>
          </w:p>
        </w:tc>
        <w:tc>
          <w:tcPr>
            <w:tcW w:w="40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(826 )</w:t>
            </w:r>
          </w:p>
        </w:tc>
        <w:tc>
          <w:tcPr>
            <w:tcW w:w="26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(2,454 )</w:t>
            </w:r>
          </w:p>
        </w:tc>
        <w:tc>
          <w:tcPr>
            <w:tcW w:w="40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(2,216 )</w:t>
            </w:r>
          </w:p>
        </w:tc>
      </w:tr>
      <w:tr>
        <w:trPr>
          <w:trHeight w:val="20"/>
        </w:trPr>
        <w:tc>
          <w:tcPr>
            <w:tcW w:w="4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6"/>
        </w:trPr>
        <w:tc>
          <w:tcPr>
            <w:tcW w:w="4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other operating expenses</w:t>
            </w:r>
          </w:p>
        </w:tc>
        <w:tc>
          <w:tcPr>
            <w:tcW w:w="1600" w:type="dxa"/>
            <w:vAlign w:val="bottom"/>
            <w:shd w:val="clear" w:color="auto" w:fill="CFF0FC"/>
          </w:tcPr>
          <w:p>
            <w:pPr>
              <w:spacing w:after="0"/>
              <w:rPr>
                <w:sz w:val="24"/>
                <w:szCs w:val="24"/>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(7,552 )</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(7,758 )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(20,974 )</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(23,723 )</w:t>
            </w:r>
          </w:p>
        </w:tc>
      </w:tr>
      <w:tr>
        <w:trPr>
          <w:trHeight w:val="588"/>
        </w:trPr>
        <w:tc>
          <w:tcPr>
            <w:tcW w:w="4220" w:type="dxa"/>
            <w:vAlign w:val="bottom"/>
            <w:tcBorders>
              <w:top w:val="single" w:sz="8" w:color="CFF0FC"/>
            </w:tcBorders>
          </w:tcPr>
          <w:p>
            <w:pPr>
              <w:spacing w:after="0"/>
              <w:rPr>
                <w:sz w:val="24"/>
                <w:szCs w:val="24"/>
                <w:color w:val="auto"/>
              </w:rPr>
            </w:pPr>
          </w:p>
        </w:tc>
        <w:tc>
          <w:tcPr>
            <w:tcW w:w="1600" w:type="dxa"/>
            <w:vAlign w:val="bottom"/>
            <w:tcBorders>
              <w:top w:val="single" w:sz="8" w:color="CFF0FC"/>
            </w:tcBorders>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506"/>
        </w:trPr>
        <w:tc>
          <w:tcPr>
            <w:tcW w:w="42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-745490</wp:posOffset>
            </wp:positionV>
            <wp:extent cx="768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-728345</wp:posOffset>
            </wp:positionV>
            <wp:extent cx="768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-745490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-728345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-745490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-728345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-745490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Opera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Reconciliations of Non-IFRS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net income to adjusted net income: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gridSpan w:val="4"/>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60" w:type="dxa"/>
            <w:vAlign w:val="bottom"/>
            <w:gridSpan w:val="5"/>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25"/>
        </w:trPr>
        <w:tc>
          <w:tcPr>
            <w:tcW w:w="58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8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00" w:type="dxa"/>
            <w:vAlign w:val="bottom"/>
          </w:tcPr>
          <w:p>
            <w:pPr>
              <w:spacing w:after="0"/>
              <w:rPr>
                <w:sz w:val="19"/>
                <w:szCs w:val="19"/>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16,836</w:t>
            </w: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17,940</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45,851</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52,082</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(deduct):</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120"/>
              <w:spacing w:after="0" w:line="248" w:lineRule="exact"/>
              <w:rPr>
                <w:sz w:val="20"/>
                <w:szCs w:val="20"/>
                <w:color w:val="auto"/>
              </w:rPr>
            </w:pPr>
            <w:r>
              <w:rPr>
                <w:rFonts w:ascii="Times New Roman" w:cs="Times New Roman" w:eastAsia="Times New Roman" w:hAnsi="Times New Roman"/>
                <w:sz w:val="18"/>
                <w:szCs w:val="18"/>
                <w:color w:val="auto"/>
              </w:rPr>
              <w:t xml:space="preserve">Fair value (gain) on short-term investments </w:t>
            </w:r>
            <w:r>
              <w:rPr>
                <w:rFonts w:ascii="Times New Roman" w:cs="Times New Roman" w:eastAsia="Times New Roman" w:hAnsi="Times New Roman"/>
                <w:sz w:val="24"/>
                <w:szCs w:val="24"/>
                <w:color w:val="auto"/>
                <w:vertAlign w:val="superscript"/>
              </w:rPr>
              <w:t>(1)</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(3,243 )</w:t>
            </w:r>
          </w:p>
        </w:tc>
        <w:tc>
          <w:tcPr>
            <w:tcW w:w="4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Non-recurring expenses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12,385</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8,657</w:t>
            </w:r>
          </w:p>
        </w:tc>
        <w:tc>
          <w:tcPr>
            <w:tcW w:w="100" w:type="dxa"/>
            <w:vAlign w:val="bottom"/>
            <w:shd w:val="clear" w:color="auto" w:fill="CFF0FC"/>
          </w:tcPr>
          <w:p>
            <w:pPr>
              <w:spacing w:after="0"/>
              <w:rPr>
                <w:sz w:val="21"/>
                <w:szCs w:val="21"/>
                <w:color w:val="auto"/>
              </w:rPr>
            </w:pPr>
          </w:p>
        </w:tc>
      </w:tr>
      <w:tr>
        <w:trPr>
          <w:trHeight w:val="243"/>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effect on adjustments</w:t>
            </w:r>
          </w:p>
        </w:tc>
        <w:tc>
          <w:tcPr>
            <w:tcW w:w="26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(4,558 )</w:t>
            </w: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(7,027 )</w:t>
            </w:r>
          </w:p>
        </w:tc>
        <w:tc>
          <w:tcPr>
            <w:tcW w:w="40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(1,344 )</w:t>
            </w:r>
          </w:p>
        </w:tc>
      </w:tr>
      <w:tr>
        <w:trPr>
          <w:trHeight w:val="277"/>
        </w:trPr>
        <w:tc>
          <w:tcPr>
            <w:tcW w:w="58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17,399</w:t>
            </w:r>
          </w:p>
        </w:tc>
        <w:tc>
          <w:tcPr>
            <w:tcW w:w="26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22,884</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51,155</w:t>
            </w:r>
          </w:p>
        </w:tc>
        <w:tc>
          <w:tcPr>
            <w:tcW w:w="24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61,335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01"/>
        </w:trPr>
        <w:tc>
          <w:tcPr>
            <w:tcW w:w="58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_______________</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-165100</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-147955</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-165100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-147955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-165100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-147955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-165100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-147955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380" w:hanging="372"/>
        <w:spacing w:after="0"/>
        <w:tabs>
          <w:tab w:leader="none" w:pos="3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gain on short-term investments was presented as part of finance income in the Statement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reconciliation of net income to adjusted EBITDA: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40" w:type="dxa"/>
            <w:vAlign w:val="bottom"/>
            <w:gridSpan w:val="5"/>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7"/>
                <w:szCs w:val="17"/>
                <w:color w:val="auto"/>
              </w:rPr>
            </w:pPr>
          </w:p>
        </w:tc>
        <w:tc>
          <w:tcPr>
            <w:tcW w:w="2360" w:type="dxa"/>
            <w:vAlign w:val="bottom"/>
            <w:gridSpan w:val="5"/>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25"/>
        </w:trPr>
        <w:tc>
          <w:tcPr>
            <w:tcW w:w="58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8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00" w:type="dxa"/>
            <w:vAlign w:val="bottom"/>
          </w:tcPr>
          <w:p>
            <w:pPr>
              <w:spacing w:after="0"/>
              <w:rPr>
                <w:sz w:val="19"/>
                <w:szCs w:val="19"/>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16,836</w:t>
            </w: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17,940</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45,851</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52,082</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(deduct):</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4,635</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12,300</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finance (income) expense</w:t>
            </w:r>
          </w:p>
        </w:tc>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(976 )</w:t>
            </w: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(7,922 )</w:t>
            </w: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Non-recurring expenses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9,940</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11,229</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12,385</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8,657</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operating income</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(8 )</w:t>
            </w:r>
          </w:p>
        </w:tc>
        <w:tc>
          <w:tcPr>
            <w:tcW w:w="4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(654 )</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(188 )</w:t>
            </w:r>
          </w:p>
        </w:tc>
        <w:tc>
          <w:tcPr>
            <w:tcW w:w="4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(2,278 )</w:t>
            </w:r>
          </w:p>
        </w:tc>
      </w:tr>
      <w:tr>
        <w:trPr>
          <w:trHeight w:val="237"/>
        </w:trPr>
        <w:tc>
          <w:tcPr>
            <w:tcW w:w="5820" w:type="dxa"/>
            <w:vAlign w:val="bottom"/>
            <w:tcBorders>
              <w:top w:val="single" w:sz="8" w:color="CFF0FC"/>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23,752</w:t>
            </w:r>
          </w:p>
        </w:tc>
        <w:tc>
          <w:tcPr>
            <w:tcW w:w="260" w:type="dxa"/>
            <w:vAlign w:val="bottom"/>
            <w:tcBorders>
              <w:top w:val="single" w:sz="8" w:color="CFF0FC"/>
            </w:tcBorders>
          </w:tcPr>
          <w:p>
            <w:pPr>
              <w:spacing w:after="0"/>
              <w:rPr>
                <w:sz w:val="20"/>
                <w:szCs w:val="20"/>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30,797</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65,955</w:t>
            </w:r>
          </w:p>
        </w:tc>
        <w:tc>
          <w:tcPr>
            <w:tcW w:w="240" w:type="dxa"/>
            <w:vAlign w:val="bottom"/>
            <w:tcBorders>
              <w:top w:val="single" w:sz="8" w:color="CFF0FC"/>
            </w:tcBorders>
          </w:tcPr>
          <w:p>
            <w:pPr>
              <w:spacing w:after="0"/>
              <w:rPr>
                <w:sz w:val="20"/>
                <w:szCs w:val="20"/>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82,316</w:t>
            </w:r>
          </w:p>
        </w:tc>
        <w:tc>
          <w:tcPr>
            <w:tcW w:w="100" w:type="dxa"/>
            <w:vAlign w:val="bottom"/>
            <w:tcBorders>
              <w:top w:val="single" w:sz="8" w:color="CFF0FC"/>
            </w:tcBorders>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-187960</wp:posOffset>
            </wp:positionV>
            <wp:extent cx="768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reconciles net cash flow from operating activities to free cash flow from operations: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40" w:type="dxa"/>
            <w:vAlign w:val="bottom"/>
            <w:gridSpan w:val="5"/>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7"/>
                <w:szCs w:val="17"/>
                <w:color w:val="auto"/>
              </w:rPr>
            </w:pPr>
          </w:p>
        </w:tc>
        <w:tc>
          <w:tcPr>
            <w:tcW w:w="2360" w:type="dxa"/>
            <w:vAlign w:val="bottom"/>
            <w:gridSpan w:val="5"/>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25"/>
        </w:trPr>
        <w:tc>
          <w:tcPr>
            <w:tcW w:w="4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flow from operating activities</w:t>
            </w:r>
          </w:p>
        </w:tc>
        <w:tc>
          <w:tcPr>
            <w:tcW w:w="19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16,233</w:t>
            </w: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34,896</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57,477</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83,334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Deduct:</w:t>
            </w: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Purchase of equipment</w:t>
            </w:r>
          </w:p>
        </w:tc>
        <w:tc>
          <w:tcPr>
            <w:tcW w:w="1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(741 )</w:t>
            </w:r>
          </w:p>
        </w:tc>
        <w:tc>
          <w:tcPr>
            <w:tcW w:w="4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(1,845 )</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(1,279 )</w:t>
            </w:r>
          </w:p>
        </w:tc>
        <w:tc>
          <w:tcPr>
            <w:tcW w:w="4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(23,310 )</w:t>
            </w:r>
          </w:p>
        </w:tc>
        <w:tc>
          <w:tcPr>
            <w:tcW w:w="0" w:type="dxa"/>
            <w:vAlign w:val="bottom"/>
          </w:tcPr>
          <w:p>
            <w:pPr>
              <w:spacing w:after="0"/>
              <w:rPr>
                <w:sz w:val="1"/>
                <w:szCs w:val="1"/>
                <w:color w:val="auto"/>
              </w:rPr>
            </w:pPr>
          </w:p>
        </w:tc>
      </w:tr>
      <w:tr>
        <w:trPr>
          <w:trHeight w:val="239"/>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Development expenditure</w:t>
            </w: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(1,189 )</w:t>
            </w:r>
          </w:p>
        </w:tc>
        <w:tc>
          <w:tcPr>
            <w:tcW w:w="4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(2,271 )</w:t>
            </w:r>
          </w:p>
        </w:tc>
        <w:tc>
          <w:tcPr>
            <w:tcW w:w="2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(3,304 )</w:t>
            </w:r>
          </w:p>
        </w:tc>
        <w:tc>
          <w:tcPr>
            <w:tcW w:w="4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(5,391 )</w:t>
            </w:r>
          </w:p>
        </w:tc>
        <w:tc>
          <w:tcPr>
            <w:tcW w:w="0" w:type="dxa"/>
            <w:vAlign w:val="bottom"/>
          </w:tcPr>
          <w:p>
            <w:pPr>
              <w:spacing w:after="0"/>
              <w:rPr>
                <w:sz w:val="1"/>
                <w:szCs w:val="1"/>
                <w:color w:val="auto"/>
              </w:rPr>
            </w:pPr>
          </w:p>
        </w:tc>
      </w:tr>
      <w:tr>
        <w:trPr>
          <w:trHeight w:val="247"/>
        </w:trPr>
        <w:tc>
          <w:tcPr>
            <w:tcW w:w="4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Payment of lease liabilities</w:t>
            </w:r>
          </w:p>
        </w:tc>
        <w:tc>
          <w:tcPr>
            <w:tcW w:w="1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(884 )</w:t>
            </w:r>
          </w:p>
        </w:tc>
        <w:tc>
          <w:tcPr>
            <w:tcW w:w="4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(1,041 )</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(2,943 )</w:t>
            </w:r>
          </w:p>
        </w:tc>
        <w:tc>
          <w:tcPr>
            <w:tcW w:w="4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(3,078 )</w:t>
            </w:r>
          </w:p>
        </w:tc>
        <w:tc>
          <w:tcPr>
            <w:tcW w:w="0" w:type="dxa"/>
            <w:vAlign w:val="bottom"/>
          </w:tcPr>
          <w:p>
            <w:pPr>
              <w:spacing w:after="0"/>
              <w:rPr>
                <w:sz w:val="1"/>
                <w:szCs w:val="1"/>
                <w:color w:val="auto"/>
              </w:rPr>
            </w:pPr>
          </w:p>
        </w:tc>
      </w:tr>
      <w:tr>
        <w:trPr>
          <w:trHeight w:val="237"/>
        </w:trPr>
        <w:tc>
          <w:tcPr>
            <w:tcW w:w="4180" w:type="dxa"/>
            <w:vAlign w:val="bottom"/>
            <w:tcBorders>
              <w:top w:val="single" w:sz="8" w:color="CFF0FC"/>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Free cash flow from operations</w:t>
            </w:r>
          </w:p>
        </w:tc>
        <w:tc>
          <w:tcPr>
            <w:tcW w:w="16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13,418</w:t>
            </w:r>
          </w:p>
        </w:tc>
        <w:tc>
          <w:tcPr>
            <w:tcW w:w="260" w:type="dxa"/>
            <w:vAlign w:val="bottom"/>
            <w:tcBorders>
              <w:top w:val="single" w:sz="8" w:color="CFF0FC"/>
            </w:tcBorders>
          </w:tcPr>
          <w:p>
            <w:pPr>
              <w:spacing w:after="0"/>
              <w:rPr>
                <w:sz w:val="20"/>
                <w:szCs w:val="20"/>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29,739</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49,951</w:t>
            </w:r>
          </w:p>
        </w:tc>
        <w:tc>
          <w:tcPr>
            <w:tcW w:w="240" w:type="dxa"/>
            <w:vAlign w:val="bottom"/>
            <w:tcBorders>
              <w:top w:val="single" w:sz="8" w:color="CFF0FC"/>
            </w:tcBorders>
          </w:tcPr>
          <w:p>
            <w:pPr>
              <w:spacing w:after="0"/>
              <w:rPr>
                <w:sz w:val="20"/>
                <w:szCs w:val="20"/>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51,555</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418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41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-916940</wp:posOffset>
            </wp:positionV>
            <wp:extent cx="768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-916940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-916940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6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2024-10-29T06:12:02Z</dcterms:created>
  <dcterms:modified xsi:type="dcterms:W3CDTF">2024-10-29T06:12:02Z</dcterms:modified>
</cp:coreProperties>
</file>