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$0.0002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Jie Lv, c/o Kunlun Tech Co Ltd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Block B, Mingyang International Center, No. 46 Xizongbu Hutong</w:t>
      </w:r>
    </w:p>
    <w:p>
      <w:pPr>
        <w:ind w:left="3940"/>
        <w:spacing w:after="0" w:line="230" w:lineRule="auto"/>
        <w:rPr>
          <w:sz w:val="20"/>
          <w:szCs w:val="20"/>
          <w:color w:val="auto"/>
        </w:rPr>
      </w:pPr>
      <w:r>
        <w:rPr>
          <w:rFonts w:ascii="Times New Roman" w:cs="Times New Roman" w:eastAsia="Times New Roman" w:hAnsi="Times New Roman"/>
          <w:sz w:val="22"/>
          <w:szCs w:val="22"/>
          <w:b w:val="1"/>
          <w:bCs w:val="1"/>
          <w:color w:val="0000FF"/>
        </w:rPr>
        <w:t>Beijing, F4, 100005</w:t>
      </w:r>
    </w:p>
    <w:p>
      <w:pPr>
        <w:spacing w:after="0" w:line="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86-138-1135-3317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Hong Kong Kunlun Tech Holding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61,081,569.00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61,081,569.00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61,081,569.00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68.0 %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percentage of the class of securities beneficially owned by the reporting person is calculated based on 89,880,513</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ordinary shares outstanding, as reported in the Issuer's Annual Report on Form 20-F filed with the Securities and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Exchange Commission on March 27, 2026. Hong Kong Kunlun Tech Holding Limited is the holder of the 61,081,569</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ordinary shares reported on this Schedule 13D, which amount consists of (i) 54,347,459 ordinary shares and (ii)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6,734,110 ADSs, each representing one ordinary share. Hong Kong Kunlun Tech Holding Limited is 68.03% owned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by Kunlun Group Limited and 31.97% owned by Kunlun Tech Co., Ltd.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Kunlun Group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20"/>
          </w:cols>
          <w:pgMar w:left="320" w:top="126" w:right="359" w:bottom="0" w:gutter="0" w:footer="0" w:header="0"/>
        </w:sectPr>
      </w:pPr>
    </w:p>
    <w:bookmarkStart w:id="2" w:name="page3"/>
    <w:bookmarkEnd w:id="2"/>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41,555,257.00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41,555,257.00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41,555,257.00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74" w:lineRule="exact"/>
        <w:rPr>
          <w:sz w:val="20"/>
          <w:szCs w:val="20"/>
          <w:color w:val="auto"/>
        </w:rPr>
      </w:pPr>
    </w:p>
    <w:p>
      <w:pPr>
        <w:jc w:val="both"/>
        <w:ind w:left="60"/>
        <w:spacing w:after="0" w:line="239" w:lineRule="auto"/>
        <w:rPr>
          <w:sz w:val="20"/>
          <w:szCs w:val="20"/>
          <w:color w:val="auto"/>
        </w:rPr>
      </w:pPr>
      <w:r>
        <w:rPr>
          <w:rFonts w:ascii="Times New Roman" w:cs="Times New Roman" w:eastAsia="Times New Roman" w:hAnsi="Times New Roman"/>
          <w:sz w:val="22"/>
          <w:szCs w:val="22"/>
          <w:color w:val="auto"/>
        </w:rPr>
        <w:t>The percentage of the class of securities beneficially owned by the reporting person is calculated based on 89,880,513 ordinary shares outstanding, as reported in the Issuer's Annual Report on Form 20-F filed with the Securities and Exchange Commission on March 27, 2026. Kunlun Group Limited is wholly owned by Kunlun Tech Co., Ltd.</w:t>
      </w:r>
    </w:p>
    <w:p>
      <w:pPr>
        <w:spacing w:after="0" w:line="200" w:lineRule="exact"/>
        <w:rPr>
          <w:sz w:val="20"/>
          <w:szCs w:val="20"/>
          <w:color w:val="auto"/>
        </w:rPr>
      </w:pPr>
    </w:p>
    <w:p>
      <w:pPr>
        <w:sectPr>
          <w:pgSz w:w="11900" w:h="16838" w:orient="portrait"/>
          <w:cols w:equalWidth="0" w:num="2">
            <w:col w:w="1120" w:space="40"/>
            <w:col w:w="10080"/>
          </w:cols>
          <w:pgMar w:left="320" w:top="6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Kunlun Tech Co.,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61,081,569.00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7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-1344295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612"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61,081,569.00</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61,081,569.00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68.0 %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percentage of the class of securities beneficially owned by the reporting person is calculated based on</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20"/>
              <w:spacing w:after="0" w:line="229" w:lineRule="exact"/>
              <w:rPr>
                <w:sz w:val="20"/>
                <w:szCs w:val="20"/>
                <w:color w:val="auto"/>
              </w:rPr>
            </w:pPr>
            <w:r>
              <w:rPr>
                <w:rFonts w:ascii="Times New Roman" w:cs="Times New Roman" w:eastAsia="Times New Roman" w:hAnsi="Times New Roman"/>
                <w:sz w:val="22"/>
                <w:szCs w:val="22"/>
                <w:color w:val="auto"/>
              </w:rPr>
              <w:t>89,880,513 ordinary shares outstanding, as reported in the Issuer's Annual Report on Form 20-F filed with the</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20"/>
              <w:spacing w:after="0" w:line="240" w:lineRule="exact"/>
              <w:rPr>
                <w:sz w:val="20"/>
                <w:szCs w:val="20"/>
                <w:color w:val="auto"/>
              </w:rPr>
            </w:pPr>
            <w:r>
              <w:rPr>
                <w:rFonts w:ascii="Times New Roman" w:cs="Times New Roman" w:eastAsia="Times New Roman" w:hAnsi="Times New Roman"/>
                <w:sz w:val="22"/>
                <w:szCs w:val="22"/>
                <w:color w:val="auto"/>
              </w:rPr>
              <w:t>Securities and Exchange Commission on March 27,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Yahui Zhou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61,081,569.00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61,081,569.00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61,081,569.00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68.0 %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percentage of the class of securities beneficially owned by the reporting person is calculated based on 89,880,513</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ordinary shares outstanding, as reported in the Issuer's Annual Report on Form 20-F filed with the Securities and</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Exchange Commission on March 27, 2026. Mr. Yahui Zhou beneficially owns 61,081,569 ordinary shares reported on</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this Schedule 13D, which amount consists of (i) 54,347,459 ordinary shares and (ii) 6,734,110 ADSs, each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representing one ordinary share, held by Hong Kong Kunlun Tech Holding Limited, which is indirectly wholly-owned</w:t>
      </w:r>
    </w:p>
    <w:p>
      <w:pPr>
        <w:spacing w:after="0" w:line="1"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by Kunlun Tech Co., Ltd. Mr. Zhou directly holds 11.6% of the equity interest of Kunlun Tech Co., Ltd. and indirectly holds 15.1% through Beijing Yingrui Century Software R&amp;D Center L.P., a limited partnership established in the People's Republic of China ("Beijing Yingrui"), which is co-owned by Mr. Zhou and Ms. Qiong Li. Mr. Zhou, holds 54.8% of the equity interest of Beijing Yingrui and, as the general partner, has sole decision making authority in terms of how the partnership exercises its ownership rights in Kunlun Tech Co., Ltd.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$0.0002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Opera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Vitaminveien 4, Oslo, NORWAY , 0485.</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8 to Schedule 13D (this "Amendment") hereby amends and supplements the initial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filed with the U.S. Securities and Exchange Commission on March 6, 2019, as amended on January 13, 2021,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November 26, 2021, December 19, 2022, May 16, 2023, July 5, 2023, October 19, 2023, and December 6, 2024 (as so amended, the "Original Schedule 13D" and, together with this Amendment, the "Schedule 13D"), on behalf of each of the Reporting Persons (as defined therein). Except as specifically provided herein, this Amendment does not modify any of the information previously reported in the Original Schedule 13D. The CUSIP number 68373M107</w:t>
      </w:r>
    </w:p>
    <w:p>
      <w:pPr>
        <w:spacing w:after="0" w:line="3" w:lineRule="exact"/>
        <w:rPr>
          <w:sz w:val="20"/>
          <w:szCs w:val="20"/>
          <w:color w:val="auto"/>
        </w:rPr>
      </w:pPr>
    </w:p>
    <w:p>
      <w:pPr>
        <w:ind w:left="40" w:right="520" w:firstLine="952"/>
        <w:spacing w:after="0" w:line="283" w:lineRule="auto"/>
        <w:rPr>
          <w:sz w:val="20"/>
          <w:szCs w:val="20"/>
          <w:color w:val="auto"/>
        </w:rPr>
      </w:pPr>
      <w:r>
        <w:rPr>
          <w:rFonts w:ascii="Times New Roman" w:cs="Times New Roman" w:eastAsia="Times New Roman" w:hAnsi="Times New Roman"/>
          <w:sz w:val="22"/>
          <w:szCs w:val="22"/>
          <w:color w:val="auto"/>
        </w:rPr>
        <w:t>applies to the Issuer's American Depositary Shares ("ADSs"), each representing one ordinary share of the Issuer. Item 2. Identity and Background</w:t>
      </w:r>
    </w:p>
    <w:p>
      <w:pPr>
        <w:ind w:left="960"/>
        <w:spacing w:after="0"/>
        <w:rPr>
          <w:sz w:val="20"/>
          <w:szCs w:val="20"/>
          <w:color w:val="auto"/>
        </w:rPr>
      </w:pPr>
      <w:r>
        <w:rPr>
          <w:rFonts w:ascii="Times New Roman" w:cs="Times New Roman" w:eastAsia="Times New Roman" w:hAnsi="Times New Roman"/>
          <w:sz w:val="22"/>
          <w:szCs w:val="22"/>
          <w:color w:val="auto"/>
        </w:rPr>
        <w:t>This Schedule 13D is being jointly filed by: (i) Hong Kong Kunlun Tech Holding Limited ("KTL"); (ii) Kunlun</w:t>
      </w:r>
    </w:p>
    <w:p>
      <w:pPr>
        <w:spacing w:after="0" w:line="14" w:lineRule="exact"/>
        <w:rPr>
          <w:sz w:val="20"/>
          <w:szCs w:val="20"/>
          <w:color w:val="auto"/>
        </w:rPr>
      </w:pPr>
    </w:p>
    <w:p>
      <w:pPr>
        <w:ind w:left="960" w:right="220" w:hanging="912"/>
        <w:spacing w:after="0" w:line="184" w:lineRule="auto"/>
        <w:tabs>
          <w:tab w:leader="none" w:pos="96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Group Limited ("KGL"); (iii) Kunlun Tech Co., Ltd. ("KTC"); and (iv) Mr. Yahui Zhou (Together, the "Reporting Persons.) Information concerning each director and executive officer of the Reporting Persons is listed on Schedules A through C attached hereto as Exhibits 99.2, 99.3 and 99.4, and is incorporated herein by reference.</w:t>
      </w:r>
    </w:p>
    <w:p>
      <w:pPr>
        <w:spacing w:after="0" w:line="18" w:lineRule="exact"/>
        <w:rPr>
          <w:rFonts w:ascii="Times New Roman" w:cs="Times New Roman" w:eastAsia="Times New Roman" w:hAnsi="Times New Roman"/>
          <w:sz w:val="42"/>
          <w:szCs w:val="42"/>
          <w:color w:val="auto"/>
          <w:vertAlign w:val="subscript"/>
        </w:rPr>
      </w:pPr>
    </w:p>
    <w:p>
      <w:pPr>
        <w:ind w:left="96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residence or business addresses of the Reporting Persons are: (i) KTL: Flat/RM 8105A 8/F, YF Life Tower, 33</w:t>
      </w:r>
    </w:p>
    <w:p>
      <w:pPr>
        <w:spacing w:after="0" w:line="14" w:lineRule="exact"/>
        <w:rPr>
          <w:rFonts w:ascii="Times New Roman" w:cs="Times New Roman" w:eastAsia="Times New Roman" w:hAnsi="Times New Roman"/>
          <w:sz w:val="42"/>
          <w:szCs w:val="42"/>
          <w:color w:val="auto"/>
          <w:vertAlign w:val="subscript"/>
        </w:rPr>
      </w:pPr>
    </w:p>
    <w:p>
      <w:pPr>
        <w:ind w:left="960"/>
        <w:spacing w:after="0" w:line="230"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Lockhart Road, Wanchai, Hong Kong. (ii) KGL: RM 3508, 35/F., Central Plaza, 18 Harbour Road, Wanchai, Hong</w:t>
      </w: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Kong. (iii) KTC: 46 Xizongbu Hutong, Mingyang International Center, Block B, Dongcheng District, Beijing</w:t>
      </w:r>
    </w:p>
    <w:p>
      <w:pPr>
        <w:ind w:left="960" w:right="1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100005, People's Republic of China. (iv) Mr. Yahui Zhou: 10/F, 46 Xizongbu hutong, Mingyang International Center, Block B, Dongcheng District, Beijing 100005, People's Republic of China.</w:t>
      </w:r>
    </w:p>
    <w:p>
      <w:pPr>
        <w:spacing w:after="0" w:line="16" w:lineRule="exact"/>
        <w:rPr>
          <w:rFonts w:ascii="Times New Roman" w:cs="Times New Roman" w:eastAsia="Times New Roman" w:hAnsi="Times New Roman"/>
          <w:sz w:val="22"/>
          <w:szCs w:val="22"/>
          <w:color w:val="auto"/>
        </w:rPr>
      </w:pPr>
    </w:p>
    <w:p>
      <w:pPr>
        <w:ind w:left="960" w:right="3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KTL and KGL is investment holding, while KTC is a global internet company. Mr. Yahui Zhou is the executive chairman of the Issuer.</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and, to the best of their knowledge, none of the persons</w:t>
      </w:r>
    </w:p>
    <w:p>
      <w:pPr>
        <w:spacing w:after="0" w:line="14" w:lineRule="exact"/>
        <w:rPr>
          <w:rFonts w:ascii="Times New Roman" w:cs="Times New Roman" w:eastAsia="Times New Roman" w:hAnsi="Times New Roman"/>
          <w:sz w:val="39"/>
          <w:szCs w:val="39"/>
          <w:color w:val="auto"/>
          <w:vertAlign w:val="subscript"/>
        </w:rPr>
      </w:pPr>
    </w:p>
    <w:p>
      <w:pPr>
        <w:ind w:left="960" w:right="220" w:hanging="912"/>
        <w:spacing w:after="0" w:line="237"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listed on Schedules A through C,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60" w:right="2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and, to the best of their knowledge, none of the persons listed on Schedules A through C, was a party to a civil proceeding of a judicial or administrative body of competent</w:t>
      </w:r>
    </w:p>
    <w:p>
      <w:pPr>
        <w:ind w:left="960" w:right="160" w:hanging="912"/>
        <w:spacing w:after="0" w:line="235"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240"/>
          </w:cols>
          <w:pgMar w:left="320" w:top="355" w:right="339" w:bottom="0" w:gutter="0" w:footer="0" w:header="0"/>
        </w:sectPr>
      </w:pPr>
    </w:p>
    <w:bookmarkStart w:id="5" w:name="page6"/>
    <w:bookmarkEnd w:id="5"/>
    <w:p>
      <w:pPr>
        <w:ind w:left="920" w:right="300" w:hanging="912"/>
        <w:spacing w:after="0" w:line="256"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KTL and KGL are organized under the laws of Hong Kong, while KTC is organized under the laws of the People's Republic of China. Mr. Yahui Zhou is a citizen of the People's Republic of China.</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3 of the Original Schedule 13D is not amended by this Amendment.</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Item 4 of the Original Schedule 13D is hereby amended and supplemented by adding the following at the end thereof: "On February 26, 2026, the Issuer announced that its Board of Directors authorized a discretionary share repurchase program of up to $300 million over a two-year period. In connection with this program, on March 24, 2026, KTL, one of the Reporting Persons, entered into a Stock Purchase Agreement (the "Stock Purchase Agreement") with the Issuer. The purpose of entering into the Stock Purchase Agreement, and the dispositions of Ordinary Shares contemplated thereby, is to allow KTL to participate in the Issuer's share repurchase program on a pro rata basis. By selling Ordinary Shares to the Issuer in proportion to the ADSs repurchased by the Issuer from the public market, KTL intends to realize liquidity while the Reporting Persons generally maintain their approximate proportionate ownership interest in the Issuer. Pursuant to the Stock Purchase Agreement, the initial closing occured on March 26, 2026, at which time the Issuer repurchased 485,874 Ordinary Shares from KTL. Except as set forth in this Amendment and the Stock Purchase Agreement, the Reporting Persons have no present plans or proposals that relate to or would result in any of the actions specified in clauses (a) through (j) of Item 4 of Schedule 13D. The Reporting Persons intend to review their investment in the Issuer on a continuing basis and, depending upon various factors, including market conditions, the Issuer's business and financial position, and other investment opportunities, the Reporting Persons may take such actions with respect to their investment as they deem appropriate, including purchasing additional Ordinary Shares, disposing of Ordinary Shares, or engaging in discussions with management or the Board of Directors of the Issuer."</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spacing w:after="0" w:line="241" w:lineRule="auto"/>
        <w:rPr>
          <w:sz w:val="20"/>
          <w:szCs w:val="20"/>
          <w:color w:val="auto"/>
        </w:rPr>
      </w:pPr>
      <w:r>
        <w:rPr>
          <w:rFonts w:ascii="Times New Roman" w:cs="Times New Roman" w:eastAsia="Times New Roman" w:hAnsi="Times New Roman"/>
          <w:sz w:val="22"/>
          <w:szCs w:val="22"/>
          <w:color w:val="auto"/>
        </w:rPr>
        <w:t>The information contained on the cover pages to this Amendment is incorporated herein by reference. As of the date hereof, the Reporting Persons beneficially own in the aggregate 61,081,569 Ordinary Shares, representing</w:t>
      </w:r>
    </w:p>
    <w:p>
      <w:pPr>
        <w:spacing w:after="0" w:line="2" w:lineRule="exact"/>
        <w:rPr>
          <w:sz w:val="20"/>
          <w:szCs w:val="20"/>
          <w:color w:val="auto"/>
        </w:rPr>
      </w:pPr>
    </w:p>
    <w:p>
      <w:pPr>
        <w:ind w:left="920" w:right="140" w:hanging="912"/>
        <w:spacing w:after="0" w:line="235"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68.0% of the outstanding Ordinary Shares. All percentages calculated in this Amendment are based upon 89,880,513 Ordinary Shares outstanding, as reported in the Issuer's Annual Report on Form 20-F filed with the Securities and Exchange Commission on March 27,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regarding the number of Ordinary Shares as to which each Reporting Person has the sole power to</w:t>
      </w:r>
    </w:p>
    <w:p>
      <w:pPr>
        <w:spacing w:after="0" w:line="14" w:lineRule="exact"/>
        <w:rPr>
          <w:rFonts w:ascii="Times New Roman" w:cs="Times New Roman" w:eastAsia="Times New Roman" w:hAnsi="Times New Roman"/>
          <w:sz w:val="22"/>
          <w:szCs w:val="22"/>
          <w:color w:val="auto"/>
        </w:rPr>
      </w:pPr>
    </w:p>
    <w:p>
      <w:pPr>
        <w:ind w:left="920" w:right="12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vote or direct the vote, the shared power to vote or direct the vote, the sole power to dispose or direct the disposition, and the shared power to dispose or direct the disposition, is set forth in Rows 7 through 11 of the respective cover pages of this Amendment for each Reporting Person, and is incorporated herein by reference.</w:t>
      </w:r>
    </w:p>
    <w:p>
      <w:pPr>
        <w:spacing w:after="0" w:line="18" w:lineRule="exact"/>
        <w:rPr>
          <w:rFonts w:ascii="Times New Roman" w:cs="Times New Roman" w:eastAsia="Times New Roman" w:hAnsi="Times New Roman"/>
          <w:sz w:val="42"/>
          <w:szCs w:val="42"/>
          <w:color w:val="auto"/>
          <w:vertAlign w:val="subscript"/>
        </w:rPr>
      </w:pPr>
    </w:p>
    <w:p>
      <w:pPr>
        <w:ind w:left="920" w:right="26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On March 26, 2026, pursuant to the Stock Purchase Agreement described in Item 4 and Item 6 of this Amendment, KTL sold 485,874 Ordinary Shares to the Issuer in a private transaction for an aggregate consideration of</w:t>
      </w:r>
    </w:p>
    <w:p>
      <w:pPr>
        <w:ind w:left="920" w:right="120" w:hanging="912"/>
        <w:spacing w:after="0" w:line="235"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$7.4 million (representing a price of $15.21 per Ordinary Share). Except as disclosed in this Item 5(c) and the execution of the Stock Purchase Agreement on March 24, 2026, none of the Reporting Persons has effected any transactions in the Ordinary Shares of the Issuer during the past 60 days.</w:t>
      </w:r>
    </w:p>
    <w:p>
      <w:pPr>
        <w:spacing w:after="0" w:line="15" w:lineRule="exact"/>
        <w:rPr>
          <w:rFonts w:ascii="Times New Roman" w:cs="Times New Roman" w:eastAsia="Times New Roman" w:hAnsi="Times New Roman"/>
          <w:sz w:val="22"/>
          <w:szCs w:val="22"/>
          <w:color w:val="auto"/>
        </w:rPr>
      </w:pPr>
    </w:p>
    <w:p>
      <w:pPr>
        <w:ind w:left="920" w:right="6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Ordinary Shares reported herein.</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33" w:lineRule="auto"/>
        <w:rPr>
          <w:sz w:val="20"/>
          <w:szCs w:val="20"/>
          <w:color w:val="auto"/>
        </w:rPr>
      </w:pPr>
      <w:r>
        <w:rPr>
          <w:rFonts w:ascii="Times New Roman" w:cs="Times New Roman" w:eastAsia="Times New Roman" w:hAnsi="Times New Roman"/>
          <w:sz w:val="22"/>
          <w:szCs w:val="22"/>
          <w:color w:val="auto"/>
        </w:rPr>
        <w:t>Item 6 of the Original Schedule 13D is hereby amended and supplemented by adding the following at the end thereof: "On March 24, 2026, KTL and the Issuer entered into a Stock Purchase Agreement (the "Stock Purchase Agreement"). Pursuant to the Stock Purchase Agreement, KTL agreed to sell, and the Issuer agreed to purchase, an initial tranche of 485,874 Ordinary Shares for an aggregate consideration of approximately $7.4 million. The closing of this transaction occurred on March 26, 2026. The Stock Purchase Agreement also establishes a mechanism for KTL to continue selling Ordinary Shares to the Issuer in subsequent calendar quarters on a pro rata basis, corresponding to the Issuer's repurchases of ADSs from the public market under its Board-authorized $300 million share repurchase program, subject to the terms and conditions set forth in the agreement. The foregoing description of the Stock Purchase Agreement does not purport to be complete and is qualified in its entirety by reference to the full text of the Stock Purchase Agreement, a copy of which is filed as Exhibit 99.5 to this Amendment and is incorporated herein by reference."</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44" w:lineRule="auto"/>
        <w:rPr>
          <w:sz w:val="20"/>
          <w:szCs w:val="20"/>
          <w:color w:val="auto"/>
        </w:rPr>
      </w:pPr>
      <w:r>
        <w:rPr>
          <w:rFonts w:ascii="Times New Roman" w:cs="Times New Roman" w:eastAsia="Times New Roman" w:hAnsi="Times New Roman"/>
          <w:sz w:val="22"/>
          <w:szCs w:val="22"/>
          <w:color w:val="auto"/>
        </w:rPr>
        <w:t>Item 7 of the Original Schedule 13D is hereby supplemented to include the following exhibits: Exhibit 99.1 - Joint Filing Agreement Exhibit 99.2 - Schedule A Exhibit 99.3 - Schedule B Exhibit 99.4 - Schedule C Exhibit 99.5 - Stock Purchase Agreement, dated March 24, 2026, by and between the Issuer and KTL</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Hong Kong Kunlun Tech Holding Limited</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Tian Jin</w:t>
      </w:r>
    </w:p>
    <w:p>
      <w:pPr>
        <w:sectPr>
          <w:pgSz w:w="11900" w:h="16838" w:orient="portrait"/>
          <w:cols w:equalWidth="0" w:num="1">
            <w:col w:w="11140"/>
          </w:cols>
          <w:pgMar w:left="360" w:top="111" w:right="399" w:bottom="0" w:gutter="0" w:footer="0" w:header="0"/>
        </w:sectPr>
      </w:pPr>
    </w:p>
    <w:bookmarkStart w:id="6" w:name="page7"/>
    <w:bookmarkEnd w:id="6"/>
    <w:p>
      <w:pPr>
        <w:ind w:left="118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5" w:lineRule="exact"/>
        <w:rPr>
          <w:sz w:val="20"/>
          <w:szCs w:val="20"/>
          <w:color w:val="auto"/>
        </w:rPr>
      </w:pPr>
    </w:p>
    <w:p>
      <w:pPr>
        <w:ind w:left="1180"/>
        <w:spacing w:after="0"/>
        <w:tabs>
          <w:tab w:leader="none" w:pos="2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Kunlun Group Limited</w:t>
      </w:r>
    </w:p>
    <w:p>
      <w:pPr>
        <w:spacing w:after="0" w:line="152" w:lineRule="exact"/>
        <w:rPr>
          <w:sz w:val="20"/>
          <w:szCs w:val="20"/>
          <w:color w:val="auto"/>
        </w:rPr>
      </w:pPr>
    </w:p>
    <w:p>
      <w:pPr>
        <w:ind w:left="1180"/>
        <w:spacing w:after="0"/>
        <w:tabs>
          <w:tab w:leader="none" w:pos="2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Tian Jin</w:t>
      </w:r>
    </w:p>
    <w:p>
      <w:pPr>
        <w:spacing w:after="0" w:line="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180"/>
        <w:spacing w:after="0"/>
        <w:tabs>
          <w:tab w:leader="none" w:pos="2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Kunlun Tech Co., Ltd.</w:t>
      </w:r>
    </w:p>
    <w:p>
      <w:pPr>
        <w:spacing w:after="0" w:line="152"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 Fang</w:t>
      </w:r>
    </w:p>
    <w:p>
      <w:pPr>
        <w:spacing w:after="0" w:line="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Yahui Zhou</w:t>
      </w:r>
    </w:p>
    <w:p>
      <w:pPr>
        <w:spacing w:after="0" w:line="152" w:lineRule="exact"/>
        <w:rPr>
          <w:sz w:val="20"/>
          <w:szCs w:val="20"/>
          <w:color w:val="auto"/>
        </w:rPr>
      </w:pPr>
    </w:p>
    <w:p>
      <w:pPr>
        <w:ind w:left="1480"/>
        <w:spacing w:after="0"/>
        <w:tabs>
          <w:tab w:leader="none" w:pos="2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Yahui Zhou</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Name/Title: Yahui Zhou</w:t>
      </w:r>
    </w:p>
    <w:p>
      <w:pPr>
        <w:spacing w:after="0" w:line="44" w:lineRule="exact"/>
        <w:rPr>
          <w:sz w:val="20"/>
          <w:szCs w:val="20"/>
          <w:color w:val="auto"/>
        </w:rPr>
      </w:pPr>
    </w:p>
    <w:p>
      <w:pPr>
        <w:ind w:left="1480"/>
        <w:spacing w:after="0"/>
        <w:tabs>
          <w:tab w:leader="none" w:pos="2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ectPr>
          <w:pgSz w:w="11900" w:h="16838" w:orient="portrait"/>
          <w:cols w:equalWidth="0" w:num="1">
            <w:col w:w="9019"/>
          </w:cols>
          <w:pgMar w:left="144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19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$0.0002 per share, of Opera Limited, a Cayman Islands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March 26, 2026.</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Hong Kong Kunlun Tech Holding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Tian Jin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Kunlun Group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Tian Jin</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Kunlun Tech Co., Ltd.</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 Fang</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 Fang</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Yahui Zhou</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Yahui Zhou</w:t>
            </w:r>
          </w:p>
        </w:tc>
      </w:tr>
      <w:tr>
        <w:trPr>
          <w:trHeight w:val="228"/>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Yahui Zhou</w:t>
            </w:r>
          </w:p>
        </w:tc>
      </w:tr>
      <w:tr>
        <w:trPr>
          <w:trHeight w:val="961"/>
        </w:trPr>
        <w:tc>
          <w:tcPr>
            <w:tcW w:w="63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Hong Kong Kunlun Tech Holding Limited</w:t>
      </w:r>
    </w:p>
    <w:p>
      <w:pPr>
        <w:spacing w:after="0" w:line="229"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business address of each of the following directors and executive officers is Flat/RM 8105B 8/F, YF Life Tower, 33 Lockhart Road, Wanchai, Hong Kong.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562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6"/>
                <w:szCs w:val="16"/>
                <w:b w:val="1"/>
                <w:bCs w:val="1"/>
                <w:color w:val="auto"/>
              </w:rPr>
              <w:t>Citizenship</w:t>
            </w:r>
          </w:p>
        </w:tc>
      </w:tr>
      <w:tr>
        <w:trPr>
          <w:trHeight w:val="21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Tian Jin</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Sing Wang</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Guang Yang</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Yahui Wang</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763"/>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Kunlun Group Limited</w:t>
      </w:r>
    </w:p>
    <w:p>
      <w:pPr>
        <w:spacing w:after="0" w:line="229"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business address of each of the following directors and executive officers is Flat/RM 8105A 8/F, YF Life Tower, 33 Lockhart Road, Wanchai, Hong Kong.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562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6"/>
                <w:szCs w:val="16"/>
                <w:b w:val="1"/>
                <w:bCs w:val="1"/>
                <w:color w:val="auto"/>
              </w:rPr>
              <w:t>Citizenship</w:t>
            </w:r>
          </w:p>
        </w:tc>
      </w:tr>
      <w:tr>
        <w:trPr>
          <w:trHeight w:val="21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Tian Jin</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Sing Wang</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Guang Yang</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Yahui Wang</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763"/>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Kunlun Tech Co., Ltd.</w:t>
      </w:r>
    </w:p>
    <w:p>
      <w:pPr>
        <w:spacing w:after="0" w:line="22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business address of each of the following directors is 46 Xizongbu hutong, Mingyang International Center, Block B, Dongcheng District, Beijing 100005, People’s Republic of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562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6"/>
                <w:szCs w:val="16"/>
                <w:b w:val="1"/>
                <w:bCs w:val="1"/>
                <w:color w:val="auto"/>
              </w:rPr>
              <w:t>Citizenship</w:t>
            </w:r>
          </w:p>
        </w:tc>
      </w:tr>
      <w:tr>
        <w:trPr>
          <w:trHeight w:val="212"/>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 Fang</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Jie Lv</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Xiaoyu Liu</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Chenyu Zhang</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Shimu Qian</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Yahui Zhou</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Rui Wu</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00" w:type="dxa"/>
            <w:vAlign w:val="bottom"/>
          </w:tcPr>
          <w:p>
            <w:pPr>
              <w:spacing w:after="0"/>
              <w:rPr>
                <w:sz w:val="18"/>
                <w:szCs w:val="18"/>
                <w:color w:val="auto"/>
              </w:rPr>
            </w:pPr>
          </w:p>
        </w:tc>
        <w:tc>
          <w:tcPr>
            <w:tcW w:w="37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6"/>
                <w:szCs w:val="16"/>
                <w:b w:val="1"/>
                <w:bCs w:val="1"/>
                <w:color w:val="auto"/>
              </w:rPr>
              <w:t>Citizenship</w:t>
            </w:r>
          </w:p>
        </w:tc>
      </w:tr>
      <w:tr>
        <w:trPr>
          <w:trHeight w:val="21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 Fang</w:t>
            </w:r>
          </w:p>
        </w:tc>
        <w:tc>
          <w:tcPr>
            <w:tcW w:w="44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General manager</w:t>
            </w:r>
          </w:p>
        </w:tc>
        <w:tc>
          <w:tcPr>
            <w:tcW w:w="10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Jie Lv</w:t>
            </w:r>
          </w:p>
        </w:tc>
        <w:tc>
          <w:tcPr>
            <w:tcW w:w="448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Vice general manager, Secretary of the board of</w:t>
            </w:r>
          </w:p>
        </w:tc>
        <w:tc>
          <w:tcPr>
            <w:tcW w:w="100" w:type="dxa"/>
            <w:vAlign w:val="bottom"/>
          </w:tcPr>
          <w:p>
            <w:pPr>
              <w:spacing w:after="0"/>
              <w:rPr>
                <w:sz w:val="17"/>
                <w:szCs w:val="17"/>
                <w:color w:val="auto"/>
              </w:rPr>
            </w:pP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People’s Republic of China</w:t>
            </w:r>
          </w:p>
        </w:tc>
      </w:tr>
      <w:tr>
        <w:trPr>
          <w:trHeight w:val="234"/>
        </w:trPr>
        <w:tc>
          <w:tcPr>
            <w:tcW w:w="2960" w:type="dxa"/>
            <w:vAlign w:val="bottom"/>
          </w:tcPr>
          <w:p>
            <w:pPr>
              <w:spacing w:after="0"/>
              <w:rPr>
                <w:sz w:val="20"/>
                <w:szCs w:val="20"/>
                <w:color w:val="auto"/>
              </w:rPr>
            </w:pPr>
          </w:p>
        </w:tc>
        <w:tc>
          <w:tcPr>
            <w:tcW w:w="4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directors</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 Zhang</w:t>
            </w:r>
          </w:p>
        </w:tc>
        <w:tc>
          <w:tcPr>
            <w:tcW w:w="44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979"/>
        </w:trPr>
        <w:tc>
          <w:tcPr>
            <w:tcW w:w="29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15" w:lineRule="exact"/>
        <w:rPr>
          <w:sz w:val="20"/>
          <w:szCs w:val="20"/>
          <w:color w:val="auto"/>
        </w:rPr>
      </w:pPr>
    </w:p>
    <w:p>
      <w:pPr>
        <w:ind w:right="540" w:firstLine="374"/>
        <w:spacing w:after="0" w:line="286" w:lineRule="auto"/>
        <w:rPr>
          <w:sz w:val="20"/>
          <w:szCs w:val="20"/>
          <w:color w:val="auto"/>
        </w:rPr>
      </w:pPr>
      <w:r>
        <w:rPr>
          <w:rFonts w:ascii="Times New Roman" w:cs="Times New Roman" w:eastAsia="Times New Roman" w:hAnsi="Times New Roman"/>
          <w:sz w:val="18"/>
          <w:szCs w:val="18"/>
          <w:color w:val="auto"/>
        </w:rPr>
        <w:t>STOCK PURCHASE AGREEMENT dated as of March 24, 2026 among Opera Limited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Hong Kong Kunlun Tech Holding Limited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80" w:firstLine="374"/>
        <w:spacing w:after="0" w:line="286" w:lineRule="auto"/>
        <w:rPr>
          <w:sz w:val="20"/>
          <w:szCs w:val="20"/>
          <w:color w:val="auto"/>
        </w:rPr>
      </w:pPr>
      <w:r>
        <w:rPr>
          <w:rFonts w:ascii="Times New Roman" w:cs="Times New Roman" w:eastAsia="Times New Roman" w:hAnsi="Times New Roman"/>
          <w:sz w:val="18"/>
          <w:szCs w:val="18"/>
          <w:color w:val="auto"/>
        </w:rPr>
        <w:t>WHEREAS, the Company is authorized to purchase from time to time its publicly traded ADSs and ordinary shares (collectively,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pursuant to a share repurchase program authorized by the Board of Directors of the Company on February 26, 2026;</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WHEREAS, Seller is the direct beneficial owner of Shares of the Company;</w:t>
      </w:r>
    </w:p>
    <w:p>
      <w:pPr>
        <w:spacing w:after="0" w:line="225"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WHEREAS Company wishes to buy and Seller wishes to sell a number of Shares that would represent a pro-rata repurchase between ADS purchased in the open market and Shares purchased from Seller based on the then-current distribution of ownership, such that purchases under the Company’s share repurchase program do not affect the ownership distribution between Seller and public market investors in the aggregate; and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WHEREAS in consideration of the above recitals and of the mutual agreements and covenants contained in this Agreement,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intending to be bound legally, each agree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Section 1.1. Definitions. (a) The following terms, as used herein, have the following meanings:</w:t>
      </w:r>
    </w:p>
    <w:p>
      <w:pPr>
        <w:spacing w:after="0" w:line="221" w:lineRule="exact"/>
        <w:rPr>
          <w:sz w:val="20"/>
          <w:szCs w:val="20"/>
          <w:color w:val="auto"/>
        </w:rPr>
      </w:pPr>
    </w:p>
    <w:p>
      <w:pPr>
        <w:jc w:val="both"/>
        <w:ind w:right="200" w:firstLine="37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Quarter</w:t>
      </w:r>
      <w:r>
        <w:rPr>
          <w:rFonts w:ascii="Times New Roman" w:cs="Times New Roman" w:eastAsia="Times New Roman" w:hAnsi="Times New Roman"/>
          <w:sz w:val="18"/>
          <w:szCs w:val="18"/>
          <w:color w:val="auto"/>
        </w:rPr>
        <w:t>” means the period starting on and including the 16th day of the third month of each calendar quarter and continuing until the 15th day of the third month of the subsequent calendar quarter in which the Company purchases Shares pursuant to the Program; provided, however, that Applicable Quarter shall also include such shorter period as may exist in the event that the Program is terminated or concluded.</w:t>
      </w:r>
    </w:p>
    <w:p>
      <w:pPr>
        <w:spacing w:after="0" w:line="171"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Average Price</w:t>
      </w:r>
      <w:r>
        <w:rPr>
          <w:rFonts w:ascii="Times New Roman" w:cs="Times New Roman" w:eastAsia="Times New Roman" w:hAnsi="Times New Roman"/>
          <w:sz w:val="17"/>
          <w:szCs w:val="17"/>
          <w:color w:val="auto"/>
        </w:rPr>
        <w:t>” means, for any Applicable Quarter, the average price, rounded to four decimal points, at which the Company purchased Shares during the Applicable Quarter pursuant to the Program in open market purchases, calculated as (a) the total purchase price paid by the Company (excluding commissions) for Shares purchased pursuant to the Program in open market purchases during such Applicable Quarter divided by (b) the total number of Shares purchased by the Company pursuant to the Program in open market purchases during such Applicable Quarter; provided that if the Agreement has been terminated in accordance with Section 7.1, the Average Price for any Closing thereafter shall be calculated only through the day immediately prior to the termination date of the Agreement. For the avoidance of doubt, Shares acquired in “open market purchases” shall not include the Acquired Shares.</w:t>
      </w:r>
    </w:p>
    <w:p>
      <w:pPr>
        <w:spacing w:after="0" w:line="168" w:lineRule="exact"/>
        <w:rPr>
          <w:sz w:val="20"/>
          <w:szCs w:val="20"/>
          <w:color w:val="auto"/>
        </w:rPr>
      </w:pPr>
    </w:p>
    <w:p>
      <w:pPr>
        <w:ind w:right="200" w:firstLine="37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for purposes of determining the date of a Closing or Closing Notice, a day on which banks are not required or authorized by law to close in New York City and (b) for all other purposes under this Agreement, a day on which the Nasdaq Stock Market is open for trading.</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Adjusted Average Price</w:t>
      </w:r>
      <w:r>
        <w:rPr>
          <w:rFonts w:ascii="Times New Roman" w:cs="Times New Roman" w:eastAsia="Times New Roman" w:hAnsi="Times New Roman"/>
          <w:sz w:val="18"/>
          <w:szCs w:val="18"/>
          <w:color w:val="auto"/>
        </w:rPr>
        <w:t xml:space="preserve">” means, the price per Share calculated in accordance with the formula and methodology set forth in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37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date that is one trading day prior to the record date which has been established in connection with the declaration of a dividend in respect of the Acquired Shares or such other date as may be established with respect to the Shares as an “ex-dividend” date by the Nasdaq Stock Market.</w:t>
      </w:r>
    </w:p>
    <w:p>
      <w:pPr>
        <w:spacing w:after="0" w:line="171" w:lineRule="exact"/>
        <w:rPr>
          <w:sz w:val="20"/>
          <w:szCs w:val="20"/>
          <w:color w:val="auto"/>
        </w:rPr>
      </w:pPr>
    </w:p>
    <w:p>
      <w:pPr>
        <w:ind w:right="120" w:firstLine="37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other encumbrance of any kind in respect of such property or asset.</w:t>
      </w:r>
    </w:p>
    <w:p>
      <w:pPr>
        <w:spacing w:after="0" w:line="155" w:lineRule="exact"/>
        <w:rPr>
          <w:sz w:val="20"/>
          <w:szCs w:val="20"/>
          <w:color w:val="auto"/>
        </w:rPr>
      </w:pPr>
    </w:p>
    <w:p>
      <w:pPr>
        <w:ind w:right="540" w:firstLine="37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55" w:lineRule="exact"/>
        <w:rPr>
          <w:sz w:val="20"/>
          <w:szCs w:val="20"/>
          <w:color w:val="auto"/>
        </w:rPr>
      </w:pPr>
    </w:p>
    <w:p>
      <w:pPr>
        <w:ind w:right="180" w:firstLine="37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means the share repurchase program approved on February 26, 2026, authorizing the Company to purchase from time to time Shares up to a maximum aggregate amount of $300 million.</w:t>
      </w:r>
    </w:p>
    <w:p>
      <w:pPr>
        <w:spacing w:after="0" w:line="159" w:lineRule="exact"/>
        <w:rPr>
          <w:sz w:val="20"/>
          <w:szCs w:val="20"/>
          <w:color w:val="auto"/>
        </w:rPr>
      </w:pPr>
    </w:p>
    <w:p>
      <w:pPr>
        <w:ind w:right="40" w:firstLine="382"/>
        <w:spacing w:after="0" w:line="282" w:lineRule="auto"/>
        <w:tabs>
          <w:tab w:leader="none" w:pos="6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definitions of “Average Price” and “Daily Average Price,” Shares purchased by the Company pursuant to the Program shall be deemed to have been purchased on the trade date with respect to such Shares and not the day on which such trade settles.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27"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Upon the terms and subject to the conditions of this Agreement, Seller agrees to sell, transfer, assign and deliver to the Company, and the Company agrees to purchase from Seller, with respect to each Applicable Quarter, a number of Shares at each Closing calculated in accordance with Annex A hereto (the Shares acquired from Seller, the “</w:t>
      </w:r>
      <w:r>
        <w:rPr>
          <w:rFonts w:ascii="Times New Roman" w:cs="Times New Roman" w:eastAsia="Times New Roman" w:hAnsi="Times New Roman"/>
          <w:sz w:val="18"/>
          <w:szCs w:val="18"/>
          <w:b w:val="1"/>
          <w:bCs w:val="1"/>
          <w:color w:val="auto"/>
        </w:rPr>
        <w:t>Acquired Shares</w:t>
      </w:r>
      <w:r>
        <w:rPr>
          <w:rFonts w:ascii="Times New Roman" w:cs="Times New Roman" w:eastAsia="Times New Roman" w:hAnsi="Times New Roman"/>
          <w:sz w:val="18"/>
          <w:szCs w:val="18"/>
          <w:color w:val="auto"/>
        </w:rPr>
        <w:t>”). In the event that the Agreement is terminated pursuant to Section 7.1, the day immediately prior to the termination date will be deemed to be the last day of the Applicable Quarter.</w:t>
      </w:r>
    </w:p>
    <w:p>
      <w:pPr>
        <w:spacing w:after="0" w:line="17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The aggregate purchase price for the Acquired Shares at each Closing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equal to the product of (i) the aggregate number of Acquired Shares to be purchased at such Closing multiplied by (ii) the Dividend Adjusted Average Price. The parties acknowledge and agree that the Dividend Adjusted Average Price is intended to ensure that the Seller receives the same economic consideration per Share as if the Acquired Shares had been repurchased by the Company concurrently, and in the same pro rata proportion, as the ADSs repurchased in the open market during the Applicable Quarter. Accordingly, the Dividend Adjusted Average Price shall be calculated to neutralize the impact of any dividends by adjusting the daily volume-weighted average price of ADSs repurchased prior to an Ex-Dividend Date, as further detailed in Annex A. The Purchase Price shall be paid as provided in Section 2.3.</w:t>
      </w:r>
    </w:p>
    <w:p>
      <w:pPr>
        <w:spacing w:after="0" w:line="185" w:lineRule="exact"/>
        <w:rPr>
          <w:sz w:val="20"/>
          <w:szCs w:val="20"/>
          <w:color w:val="auto"/>
        </w:rPr>
      </w:pPr>
    </w:p>
    <w:p>
      <w:pPr>
        <w:ind w:firstLine="374"/>
        <w:spacing w:after="0" w:line="277"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i w:val="1"/>
          <w:iCs w:val="1"/>
          <w:color w:val="auto"/>
        </w:rPr>
        <w:t>Reporting &amp; Payment</w:t>
      </w:r>
      <w:r>
        <w:rPr>
          <w:rFonts w:ascii="Times New Roman" w:cs="Times New Roman" w:eastAsia="Times New Roman" w:hAnsi="Times New Roman"/>
          <w:sz w:val="17"/>
          <w:szCs w:val="17"/>
          <w:color w:val="auto"/>
        </w:rPr>
        <w:t>. Within five Business Days after the end of each Applicable Quarter, the Company shall deliver to Seller a notice (each, a “</w:t>
      </w:r>
      <w:r>
        <w:rPr>
          <w:rFonts w:ascii="Times New Roman" w:cs="Times New Roman" w:eastAsia="Times New Roman" w:hAnsi="Times New Roman"/>
          <w:sz w:val="17"/>
          <w:szCs w:val="17"/>
          <w:b w:val="1"/>
          <w:bCs w:val="1"/>
          <w:color w:val="auto"/>
        </w:rPr>
        <w:t>Closing Notice</w:t>
      </w:r>
      <w:r>
        <w:rPr>
          <w:rFonts w:ascii="Times New Roman" w:cs="Times New Roman" w:eastAsia="Times New Roman" w:hAnsi="Times New Roman"/>
          <w:sz w:val="17"/>
          <w:szCs w:val="17"/>
          <w:color w:val="auto"/>
        </w:rPr>
        <w:t>”) setting forth (i) the number of Acquired Shares to be purchased by the Company from Seller pursuant to Section 2.1, (ii) the Purchase Price and (iii) details of the calculation of the Purchase Price sufficient to allow Seller to reproduce the calculation of the Purchase Price. Subject to the satisfaction or waiver by Seller and the Company of the conditions set forth in Article 6, each closing of the purchase and sale of the Acquired Shares hereunder shall take place automatically on the third Business Day before the end of the calendar quarter immediately following each Applicable Quarter.</w:t>
      </w:r>
    </w:p>
    <w:p>
      <w:pPr>
        <w:spacing w:after="0" w:line="170"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At each Closing: (a) The Company shall deliver to Seller the Purchase Price by wire transfer in accordance with the payment instructions provided to the Company from time to time by Seller; and (b) the Company shall update the register of members to reflect the delivery Seller of the Acquired Shares (and the Seller shall cooperate in providing any required signatures or confirmations needed to effect such update) and the Seller shall thereafter promptly deliver any certificates representing the Acquired Shares to the Company or its designee.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Seller represents and warrants to the Company with respect to any Seller, as of the date hereof and as of the date of each Closing that:</w:t>
      </w:r>
    </w:p>
    <w:p>
      <w:pPr>
        <w:spacing w:after="0" w:line="223" w:lineRule="exact"/>
        <w:rPr>
          <w:sz w:val="20"/>
          <w:szCs w:val="20"/>
          <w:color w:val="auto"/>
        </w:rPr>
      </w:pPr>
    </w:p>
    <w:p>
      <w:pPr>
        <w:ind w:right="4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The Seller (i) is a corporation duly incorporated, validly existing and in good standing under the laws of the Hong Kong and (ii) has all corporate powers and all material governmental licenses, authorizations, permits, consents and approvals required to perform its obligations under this Agreement.</w:t>
      </w:r>
    </w:p>
    <w:p>
      <w:pPr>
        <w:spacing w:after="0" w:line="173" w:lineRule="exact"/>
        <w:rPr>
          <w:sz w:val="20"/>
          <w:szCs w:val="20"/>
          <w:color w:val="auto"/>
        </w:rPr>
      </w:pPr>
    </w:p>
    <w:p>
      <w:pPr>
        <w:ind w:right="6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The execution and delivery by Seller of this Agreement and the consummation of the transactions contemplated hereby are within the powers, corporate or otherwise, of Seller and have been duly authorized by all necessary action on the part of Seller. This Agreement constitutes a valid and binding agreement of Seller enforceable against Seller in accordance with its terms.</w:t>
      </w:r>
    </w:p>
    <w:p>
      <w:pPr>
        <w:spacing w:after="0" w:line="173" w:lineRule="exact"/>
        <w:rPr>
          <w:sz w:val="20"/>
          <w:szCs w:val="20"/>
          <w:color w:val="auto"/>
        </w:rPr>
      </w:pPr>
    </w:p>
    <w:p>
      <w:pPr>
        <w:ind w:right="64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and delivery by Seller of this Agreement and the consummation of the transactions contemplated hereby require no prior action by or in respect of, or prior filing with, any governmental organization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0" w:firstLine="374"/>
        <w:spacing w:after="0" w:line="271"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The execution and delivery by Seller of this Agreement and the consummation of the transactions contemplated hereby do not and will not (i) violate the organization documents of Seller, (ii)violate any applicable law, rule, regulation, judgment, injunction, order or decree (iii) require any consent or other action by any Person under, constitute a default under, or give rise to any right of termination, cancellation or acceleration of any right or obligation of Seller under any provision of any agreement or other instrument binding upon any Seller, except with respect to</w:t>
      </w:r>
    </w:p>
    <w:p>
      <w:pPr>
        <w:spacing w:after="0" w:line="1" w:lineRule="exact"/>
        <w:rPr>
          <w:sz w:val="20"/>
          <w:szCs w:val="20"/>
          <w:color w:val="auto"/>
        </w:rPr>
      </w:pPr>
    </w:p>
    <w:p>
      <w:pPr>
        <w:ind w:right="380" w:firstLine="8"/>
        <w:spacing w:after="0" w:line="26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where such violation, consent, action, default or right of termination, cancellation or acceleration would not adversely affect the ability of Seller to perform its obligations under this Agreement or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Ownership of Shares</w:t>
      </w:r>
      <w:r>
        <w:rPr>
          <w:rFonts w:ascii="Times New Roman" w:cs="Times New Roman" w:eastAsia="Times New Roman" w:hAnsi="Times New Roman"/>
          <w:sz w:val="18"/>
          <w:szCs w:val="18"/>
          <w:color w:val="auto"/>
        </w:rPr>
        <w:t>. As of the time of each Closing hereunder, Seller will be the legal owner of the Acquired Shares to be sold at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and will transfer and deliver to the Company at each Closing valid title to the Acquired Shares to be sold at such Closing free and clear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and any other limitation or restriction (including any restriction on the right to sell or otherwise dispose of the Acquired Shares).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represents and warrants to Seller as of the date hereof and as of the date of each Closing that:</w:t>
      </w:r>
    </w:p>
    <w:p>
      <w:pPr>
        <w:spacing w:after="0" w:line="223" w:lineRule="exact"/>
        <w:rPr>
          <w:sz w:val="20"/>
          <w:szCs w:val="20"/>
          <w:color w:val="auto"/>
        </w:rPr>
      </w:pPr>
    </w:p>
    <w:p>
      <w:pPr>
        <w:ind w:right="36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The Company (i) is a corporation duly incorporated, validly existing and in good standing under the laws of the Cayman Islands and (ii) has all corporate powers and all material governmental licenses, authorizations, permits, consents and approvals required to perform its obligations under this Agreement.</w:t>
      </w:r>
    </w:p>
    <w:p>
      <w:pPr>
        <w:spacing w:after="0" w:line="173"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The execution, delivery and performance by the Company of this Agreement and the consummation of the transactions contemplated hereby are within the corporate powers of the Company and have been duly authorized by all necessary corporate action on the part of the Company. This Agreement constitutes a valid and binding agreement of the Company enforceable against the Company in accordance with its terms.</w:t>
      </w:r>
    </w:p>
    <w:p>
      <w:pPr>
        <w:spacing w:after="0" w:line="180" w:lineRule="exact"/>
        <w:rPr>
          <w:sz w:val="20"/>
          <w:szCs w:val="20"/>
          <w:color w:val="auto"/>
        </w:rPr>
      </w:pPr>
    </w:p>
    <w:p>
      <w:pPr>
        <w:ind w:right="12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delivery and performance by the Company of this Agreement and the consummation of the transactions contemplated hereby require no prior action by or in respect of, or prior filing with, any Governmental Authority.</w:t>
      </w:r>
    </w:p>
    <w:p>
      <w:pPr>
        <w:spacing w:after="0" w:line="158"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The execution, delivery and performance by the Company of this Agreement and the consummation of the transactions contemplated hereby do not and will not (i) violate the articles of association of the Company, (ii) assuming compliance with the matters referred to in Section 4.3, violate any applicable law, rule, regulation, judgment, injunction, order or decree, (iii) require any consent or other action by any Person under, constitute a default under, or give rise to any right of termination, cancellation or acceleration of any right or obligation of the Company under any provision of any agreement or other instrument binding upon the Company, except with respect to (ii) and (iii), where such violation, consent, action, default or right of termination, cancellation or acceleration would not adversely affect the ability of the Company to perform its obligations under this Agreement or to consummate the transactions contemplated hereby.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 of the Company and Seller</w:t>
      </w:r>
    </w:p>
    <w:p>
      <w:pPr>
        <w:spacing w:after="0" w:line="227" w:lineRule="exact"/>
        <w:rPr>
          <w:sz w:val="20"/>
          <w:szCs w:val="20"/>
          <w:color w:val="auto"/>
        </w:rPr>
      </w:pPr>
    </w:p>
    <w:p>
      <w:pPr>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Reasonable Commercial Efforts; Further Assurances</w:t>
      </w:r>
      <w:r>
        <w:rPr>
          <w:rFonts w:ascii="Times New Roman" w:cs="Times New Roman" w:eastAsia="Times New Roman" w:hAnsi="Times New Roman"/>
          <w:sz w:val="18"/>
          <w:szCs w:val="18"/>
          <w:color w:val="auto"/>
        </w:rPr>
        <w:t>. Subject to the terms and conditions of this Agreement, the Company and Seller will use their reasonable commercial efforts to take, or cause to be taken, all actions and to do, or cause to be done, all things necessary or desirable under applicable laws and regulations to consummate the transactions contemplated by this Agreement.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27"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Conditions to Obligations of the Company and Seller</w:t>
      </w:r>
      <w:r>
        <w:rPr>
          <w:rFonts w:ascii="Times New Roman" w:cs="Times New Roman" w:eastAsia="Times New Roman" w:hAnsi="Times New Roman"/>
          <w:sz w:val="18"/>
          <w:szCs w:val="18"/>
          <w:color w:val="auto"/>
        </w:rPr>
        <w:t>. The obligations of the Company and Seller to consummate each Closing is subject to the satisfaction of the following conditions: (a) No provision of any applicable law or regulation and no judgment, injunction, order or decree shall prohibit the consummation of any Closing; and (b) all actions by or in respect of or filings with any governmental body, agency, official or authority required to permit the consummation of each Closing shall have been taken, made or obtained.</w:t>
      </w:r>
    </w:p>
    <w:p>
      <w:pPr>
        <w:spacing w:after="0" w:line="180"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Conditions to Obligations of the Company</w:t>
      </w:r>
      <w:r>
        <w:rPr>
          <w:rFonts w:ascii="Times New Roman" w:cs="Times New Roman" w:eastAsia="Times New Roman" w:hAnsi="Times New Roman"/>
          <w:sz w:val="18"/>
          <w:szCs w:val="18"/>
          <w:color w:val="auto"/>
        </w:rPr>
        <w:t>. The obligation of the Company to consummate each Closing is subject to the satisfaction (or waiver by the Company) of the following conditions: (a) Seller shall have performed in all material respects all of his respective obligations hereunder required to be performed by him on or prior to such Closing; and (b) the representations and warranties of Seller hereunder contained in this Agreement shall be true in all material respects at and as of such Closing as if made at and as of such date.</w:t>
      </w:r>
    </w:p>
    <w:p>
      <w:pPr>
        <w:spacing w:after="0" w:line="180"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i w:val="1"/>
          <w:iCs w:val="1"/>
          <w:color w:val="auto"/>
        </w:rPr>
        <w:t>Conditions to Obligation of Seller</w:t>
      </w:r>
      <w:r>
        <w:rPr>
          <w:rFonts w:ascii="Times New Roman" w:cs="Times New Roman" w:eastAsia="Times New Roman" w:hAnsi="Times New Roman"/>
          <w:sz w:val="18"/>
          <w:szCs w:val="18"/>
          <w:color w:val="auto"/>
        </w:rPr>
        <w:t>. The obligation of Seller to consummate each Closing is subject to the satisfaction (or waiver by Seller) of the following conditions: (a) The Company shall have performed in all material respects all of its obligations hereunder required to be performed by it at or prior to such Closing; and(b) the representations and warranties of the Company contained in this Agreement shall be true in all material respects at and as of such Closing as if made at and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shall terminate:</w:t>
      </w:r>
    </w:p>
    <w:p>
      <w:pPr>
        <w:spacing w:after="0" w:line="187"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joint written agreement of the Company and Seller; or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Business Days after notice by Seller, on the one hand, or the Company, on the other hand; or</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written notice by the Company, if a breach of or failure to perform any representation, warranty, covenant or agreement on the part of Seller set forth in this Agreement shall have occurred that would cause any of the conditions set forth in Sections 6.2(a) and 6.2(b) not to be satisfied, and any such condition is incapable of being satisfied by the next Closing; or</w:t>
      </w:r>
    </w:p>
    <w:p>
      <w:pPr>
        <w:spacing w:after="0" w:line="135"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written notice by Seller, if a breach of or failure to perform any representation, warranty, covenant or agreement on the part of the Company set forth in this Agreement shall have occurred that would cause any of the conditions set forth in Sections 6.3(a) and 6.3(b) not to be satisfied, and any such condition is incapable of being satisfied by the next Closing; or</w:t>
      </w:r>
    </w:p>
    <w:p>
      <w:pPr>
        <w:spacing w:after="0" w:line="148"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written notice by either Seller or the Company if there shall be any law or regulation that makes consummation of the transactions contemplated hereby illegal or otherwise prohibited or if consummation of the transactions contemplated hereby would violate any non appealable final order, decree or judgment of any court or governmental body having competent jurisdiction; or</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termination or completion of the Program;</w:t>
      </w:r>
    </w:p>
    <w:p>
      <w:pPr>
        <w:spacing w:after="0" w:line="223" w:lineRule="exact"/>
        <w:rPr>
          <w:sz w:val="20"/>
          <w:szCs w:val="20"/>
          <w:color w:val="auto"/>
        </w:rPr>
      </w:pPr>
    </w:p>
    <w:p>
      <w:pPr>
        <w:ind w:right="640" w:firstLine="37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with respect to (a) and (b) above, such termination shall not affect the settlement of Acquired Shares in respect of any purchases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Program which have occurred or are deemed to have occurred prior to the effective date of the termination of this Agreement.</w:t>
      </w:r>
    </w:p>
    <w:p>
      <w:pPr>
        <w:spacing w:after="0" w:line="137"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party desiring to terminate this Agreement pursuant to clauses (b), (c), (d) or (e) above shall give written notice of such termination to the other party.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The covenants, agreements, representations and warranties of the parties hereto contained in this Agreement or in any certificate or other writing delivered pursuant hereto shall not survive the termination of this Agreement other than with respect to a Closing for Acquired Shares which follows a termination of the Agreement pursuant to Sections 7.1(a) or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covenants, agreements, representations and warranties contained in Articles 3, 4 and 8 shall survive indefinitely;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nothing shall relieve any party for liability at any time with respect to any breach occurring prior to the termination of this Agreement.</w:t>
      </w:r>
    </w:p>
    <w:p>
      <w:pPr>
        <w:spacing w:after="0" w:line="183" w:lineRule="exact"/>
        <w:rPr>
          <w:sz w:val="20"/>
          <w:szCs w:val="20"/>
          <w:color w:val="auto"/>
        </w:rPr>
      </w:pPr>
    </w:p>
    <w:p>
      <w:pPr>
        <w:ind w:right="42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by email to the other’s party’s designated point(s) of contact.</w:t>
      </w:r>
    </w:p>
    <w:p>
      <w:pPr>
        <w:spacing w:after="0" w:line="158"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Any provision of this Agreement may be amended or waived if, but only if, such amendment or waiver is in writing and is signed, in the case of an amendment, by both parties to this Agreement, or in the case of a waiver, by the party against whom the waiver is to be effective. The failure or delay by any party in exercising any right, power or privilege hereunder shall not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3" w:lineRule="exact"/>
        <w:rPr>
          <w:sz w:val="20"/>
          <w:szCs w:val="20"/>
          <w:color w:val="auto"/>
        </w:rPr>
      </w:pPr>
    </w:p>
    <w:p>
      <w:pPr>
        <w:ind w:right="18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All costs and expenses incurred in connection with this Agreement and the transactions contemplated hereby shall be paid by the party incurring such cost or expense.</w:t>
      </w:r>
    </w:p>
    <w:p>
      <w:pPr>
        <w:spacing w:after="0" w:line="158" w:lineRule="exact"/>
        <w:rPr>
          <w:sz w:val="20"/>
          <w:szCs w:val="20"/>
          <w:color w:val="auto"/>
        </w:rPr>
      </w:pPr>
    </w:p>
    <w:p>
      <w:pPr>
        <w:ind w:right="18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or delegate any of its rights or obligations under this Agreement without the consent of each other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 of the State of New York (without regard to principles of conflicts of laws).</w:t>
      </w:r>
    </w:p>
    <w:p>
      <w:pPr>
        <w:spacing w:after="0" w:line="158"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The parties hereto agree that any suit, action or proceeding seeking to enforce any provision of, or based on any matter arising out of or in connection with, this Agreement or the transactions contemplated hereby shall be brought exclusively in a state or federal court located in New York County, New York, so long as one of such courts shall have subject matter jurisdiction over such suit, action or proceeding,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8.2 shall be deemed effective service of process on such party.</w:t>
      </w:r>
    </w:p>
    <w:p>
      <w:pPr>
        <w:spacing w:after="0" w:line="188" w:lineRule="exact"/>
        <w:rPr>
          <w:sz w:val="20"/>
          <w:szCs w:val="20"/>
          <w:color w:val="auto"/>
        </w:rPr>
      </w:pPr>
    </w:p>
    <w:p>
      <w:pPr>
        <w:ind w:right="28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73" w:lineRule="exact"/>
        <w:rPr>
          <w:sz w:val="20"/>
          <w:szCs w:val="20"/>
          <w:color w:val="auto"/>
        </w:rPr>
      </w:pPr>
    </w:p>
    <w:p>
      <w:pPr>
        <w:ind w:right="38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Third Party Beneficiaries.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No provision of this Agreement is intended to confer upon any Person other than the Company or Seller any rights or remedies hereunder.</w:t>
      </w:r>
    </w:p>
    <w:p>
      <w:pPr>
        <w:spacing w:after="0" w:line="180" w:lineRule="exact"/>
        <w:rPr>
          <w:sz w:val="20"/>
          <w:szCs w:val="20"/>
          <w:color w:val="auto"/>
        </w:rPr>
      </w:pPr>
    </w:p>
    <w:p>
      <w:pPr>
        <w:ind w:right="38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constitutes the entire agreement between the parties with respect to the subject matter of this Agreement and supersedes all prior agreements and understandings, both oral and written, between the parties with respect to the subject matter of this Agreement.</w:t>
      </w:r>
    </w:p>
    <w:p>
      <w:pPr>
        <w:spacing w:after="0" w:line="173" w:lineRule="exact"/>
        <w:rPr>
          <w:sz w:val="20"/>
          <w:szCs w:val="20"/>
          <w:color w:val="auto"/>
        </w:rPr>
      </w:pPr>
    </w:p>
    <w:p>
      <w:pPr>
        <w:ind w:right="22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i w:val="1"/>
          <w:iCs w:val="1"/>
          <w:color w:val="auto"/>
        </w:rPr>
        <w:t>Captions</w:t>
      </w:r>
      <w:r>
        <w:rPr>
          <w:rFonts w:ascii="Times New Roman" w:cs="Times New Roman" w:eastAsia="Times New Roman" w:hAnsi="Times New Roman"/>
          <w:sz w:val="18"/>
          <w:szCs w:val="18"/>
          <w:color w:val="auto"/>
        </w:rPr>
        <w:t>. The captions herein are included for convenience of reference only and shall be ignored in the construction or interpretation 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4736465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6" w:name="page17"/>
    <w:bookmarkEnd w:id="16"/>
    <w:p>
      <w:pPr>
        <w:ind w:firstLine="37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378"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Frode Jacobsen</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Frode Jacobsen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CFO</w:t>
            </w:r>
          </w:p>
        </w:tc>
      </w:tr>
      <w:tr>
        <w:trPr>
          <w:trHeight w:val="648"/>
        </w:trPr>
        <w:tc>
          <w:tcPr>
            <w:tcW w:w="80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HONG KONG KUNLUN TECH HOLDING LTD</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Tian Jin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ACQUIRED SHARES CALCULATION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Quantity of Acquired Shares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number of Acquired Shares to be purchased from Seller at each Closing shall be equal to:</w:t>
      </w:r>
    </w:p>
    <w:p>
      <w:pPr>
        <w:spacing w:after="0" w:line="185" w:lineRule="exact"/>
        <w:rPr>
          <w:sz w:val="20"/>
          <w:szCs w:val="20"/>
          <w:color w:val="auto"/>
        </w:rPr>
      </w:pPr>
    </w:p>
    <w:p>
      <w:pPr>
        <w:ind w:left="760" w:right="54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(1) the Seller’s ownership percentage at the start of each Applicable Quarter divided by (2) 1 minus the Seller’s ownership percentage.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multiplied by</w:t>
      </w:r>
    </w:p>
    <w:p>
      <w:pPr>
        <w:spacing w:after="0" w:line="185" w:lineRule="exact"/>
        <w:rPr>
          <w:sz w:val="20"/>
          <w:szCs w:val="20"/>
          <w:color w:val="auto"/>
        </w:rPr>
      </w:pPr>
    </w:p>
    <w:p>
      <w:pPr>
        <w:ind w:left="760" w:right="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purchased by the Company pursuant to the Program (open market purchases and otherwise) with respect to the Applicable Quarter (excluding any Acquired Shares);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number of Acquired Shares for the Applicable Quarter shall be rounded to the nearest whole Acquired Share, and</w:t>
      </w:r>
    </w:p>
    <w:p>
      <w:pPr>
        <w:spacing w:after="0" w:line="225" w:lineRule="exact"/>
        <w:rPr>
          <w:sz w:val="20"/>
          <w:szCs w:val="20"/>
          <w:color w:val="auto"/>
        </w:rPr>
      </w:pPr>
    </w:p>
    <w:p>
      <w:pPr>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the Seller’s ownership percentage changes during an Applicable Quarter, for reasons other than the temporary effect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purchases in the open market in accordance with this Agreement, the calculation shall be performed separately for periods prior to and subsequent to such change.</w:t>
      </w:r>
    </w:p>
    <w:p>
      <w:pPr>
        <w:spacing w:after="0" w:line="175"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For purposes of the Acquired Shares calculation, Shares purchased in the open market by the Company pursuant to the Program shall be deemed to have been purchased on the trade date with respect to such Shares and not the day on which such trade settles.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229"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 Purchase Price for the Acquired Shares shall be determined on a quarterly basis to ensure economic parity with the Company’s open-market activity. The calculation shall be performed as follows:</w:t>
      </w:r>
    </w:p>
    <w:p>
      <w:pPr>
        <w:spacing w:after="0" w:line="121" w:lineRule="exact"/>
        <w:rPr>
          <w:sz w:val="20"/>
          <w:szCs w:val="20"/>
          <w:color w:val="auto"/>
        </w:rPr>
      </w:pPr>
    </w:p>
    <w:p>
      <w:pPr>
        <w:ind w:left="760" w:right="2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Volume: The aggregate number of Shares purchased by the Company in the open market during the Applicable Quarter shall be categorized into two groups:</w:t>
      </w: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24"/>
          <w:szCs w:val="24"/>
          <w:color w:val="auto"/>
          <w:vertAlign w:val="subscript"/>
        </w:rPr>
        <w:t>pre</w:t>
      </w:r>
      <w:r>
        <w:rPr>
          <w:rFonts w:ascii="Times New Roman" w:cs="Times New Roman" w:eastAsia="Times New Roman" w:hAnsi="Times New Roman"/>
          <w:sz w:val="18"/>
          <w:szCs w:val="18"/>
          <w:color w:val="auto"/>
        </w:rPr>
        <w:t>: Total Shares repurchased on trading days occurring prior to the Ex-Dividend Date.</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24"/>
          <w:szCs w:val="24"/>
          <w:color w:val="auto"/>
          <w:vertAlign w:val="subscript"/>
        </w:rPr>
        <w:t>post</w:t>
      </w:r>
      <w:r>
        <w:rPr>
          <w:rFonts w:ascii="Times New Roman" w:cs="Times New Roman" w:eastAsia="Times New Roman" w:hAnsi="Times New Roman"/>
          <w:sz w:val="18"/>
          <w:szCs w:val="18"/>
          <w:color w:val="auto"/>
        </w:rPr>
        <w:t>: Total Shares repurchased on trading days occurring on or after the Ex-Dividend Date.</w:t>
      </w:r>
    </w:p>
    <w:p>
      <w:pPr>
        <w:spacing w:after="0" w:line="22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Calculation of Weighted Prices: The Company shall determine:</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VWAP</w:t>
      </w:r>
      <w:r>
        <w:rPr>
          <w:rFonts w:ascii="Times New Roman" w:cs="Times New Roman" w:eastAsia="Times New Roman" w:hAnsi="Times New Roman"/>
          <w:sz w:val="24"/>
          <w:szCs w:val="24"/>
          <w:color w:val="auto"/>
          <w:vertAlign w:val="subscript"/>
        </w:rPr>
        <w:t>pre</w:t>
      </w:r>
      <w:r>
        <w:rPr>
          <w:rFonts w:ascii="Times New Roman" w:cs="Times New Roman" w:eastAsia="Times New Roman" w:hAnsi="Times New Roman"/>
          <w:sz w:val="18"/>
          <w:szCs w:val="18"/>
          <w:color w:val="auto"/>
        </w:rPr>
        <w:t>: The volume-weighted average price of all Shares repurchased during the Q</w:t>
      </w:r>
      <w:r>
        <w:rPr>
          <w:rFonts w:ascii="Times New Roman" w:cs="Times New Roman" w:eastAsia="Times New Roman" w:hAnsi="Times New Roman"/>
          <w:sz w:val="24"/>
          <w:szCs w:val="24"/>
          <w:color w:val="auto"/>
          <w:vertAlign w:val="subscript"/>
        </w:rPr>
        <w:t>pre</w:t>
      </w:r>
      <w:r>
        <w:rPr>
          <w:rFonts w:ascii="Times New Roman" w:cs="Times New Roman" w:eastAsia="Times New Roman" w:hAnsi="Times New Roman"/>
          <w:sz w:val="18"/>
          <w:szCs w:val="18"/>
          <w:color w:val="auto"/>
        </w:rPr>
        <w:t xml:space="preserve"> period.</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VWAP</w:t>
      </w:r>
      <w:r>
        <w:rPr>
          <w:rFonts w:ascii="Times New Roman" w:cs="Times New Roman" w:eastAsia="Times New Roman" w:hAnsi="Times New Roman"/>
          <w:sz w:val="24"/>
          <w:szCs w:val="24"/>
          <w:color w:val="auto"/>
          <w:vertAlign w:val="subscript"/>
        </w:rPr>
        <w:t>post</w:t>
      </w:r>
      <w:r>
        <w:rPr>
          <w:rFonts w:ascii="Times New Roman" w:cs="Times New Roman" w:eastAsia="Times New Roman" w:hAnsi="Times New Roman"/>
          <w:sz w:val="18"/>
          <w:szCs w:val="18"/>
          <w:color w:val="auto"/>
        </w:rPr>
        <w:t>: The volume-weighted average price of all Shares repurchased during the Q</w:t>
      </w:r>
      <w:r>
        <w:rPr>
          <w:rFonts w:ascii="Times New Roman" w:cs="Times New Roman" w:eastAsia="Times New Roman" w:hAnsi="Times New Roman"/>
          <w:sz w:val="24"/>
          <w:szCs w:val="24"/>
          <w:color w:val="auto"/>
          <w:vertAlign w:val="subscript"/>
        </w:rPr>
        <w:t>post</w:t>
      </w:r>
      <w:r>
        <w:rPr>
          <w:rFonts w:ascii="Times New Roman" w:cs="Times New Roman" w:eastAsia="Times New Roman" w:hAnsi="Times New Roman"/>
          <w:sz w:val="18"/>
          <w:szCs w:val="18"/>
          <w:color w:val="auto"/>
        </w:rPr>
        <w:t xml:space="preserve"> period.</w:t>
      </w:r>
    </w:p>
    <w:p>
      <w:pPr>
        <w:spacing w:after="0" w:line="183" w:lineRule="exact"/>
        <w:rPr>
          <w:sz w:val="20"/>
          <w:szCs w:val="20"/>
          <w:color w:val="auto"/>
        </w:rPr>
      </w:pPr>
    </w:p>
    <w:p>
      <w:pPr>
        <w:ind w:left="760" w:hanging="378"/>
        <w:spacing w:after="0" w:line="287"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Adjustment: For the Q</w:t>
      </w:r>
      <w:r>
        <w:rPr>
          <w:rFonts w:ascii="Times New Roman" w:cs="Times New Roman" w:eastAsia="Times New Roman" w:hAnsi="Times New Roman"/>
          <w:sz w:val="24"/>
          <w:szCs w:val="24"/>
          <w:color w:val="auto"/>
          <w:vertAlign w:val="subscript"/>
        </w:rPr>
        <w:t>pre</w:t>
      </w:r>
      <w:r>
        <w:rPr>
          <w:rFonts w:ascii="Times New Roman" w:cs="Times New Roman" w:eastAsia="Times New Roman" w:hAnsi="Times New Roman"/>
          <w:sz w:val="18"/>
          <w:szCs w:val="18"/>
          <w:color w:val="auto"/>
        </w:rPr>
        <w:t xml:space="preserve"> period, the price shall be adjusted by subtracting the per-share amount of the dividend (D) declared during the Applicable Quarter.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Settlement Price: The "Dividend Adjusted Average Price" to be paid to the Seller shall be calculated using the following formula:</w:t>
      </w:r>
    </w:p>
    <w:p>
      <w:pPr>
        <w:spacing w:after="0" w:line="225" w:lineRule="exact"/>
        <w:rPr>
          <w:sz w:val="20"/>
          <w:szCs w:val="20"/>
          <w:color w:val="auto"/>
        </w:rPr>
      </w:pPr>
    </w:p>
    <w:p>
      <w:pPr>
        <w:jc w:val="center"/>
        <w:ind w:right="6140"/>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2"/>
          <w:szCs w:val="12"/>
          <w:color w:val="auto"/>
        </w:rPr>
        <w:t>pre</w:t>
      </w:r>
      <w:r>
        <w:rPr>
          <w:rFonts w:ascii="Times New Roman" w:cs="Times New Roman" w:eastAsia="Times New Roman" w:hAnsi="Times New Roman"/>
          <w:sz w:val="18"/>
          <w:szCs w:val="18"/>
          <w:color w:val="auto"/>
        </w:rPr>
        <w:t xml:space="preserve"> x (VWAP</w:t>
      </w:r>
      <w:r>
        <w:rPr>
          <w:rFonts w:ascii="Times New Roman" w:cs="Times New Roman" w:eastAsia="Times New Roman" w:hAnsi="Times New Roman"/>
          <w:sz w:val="12"/>
          <w:szCs w:val="12"/>
          <w:color w:val="auto"/>
        </w:rPr>
        <w:t>pre</w:t>
      </w:r>
      <w:r>
        <w:rPr>
          <w:rFonts w:ascii="Times New Roman" w:cs="Times New Roman" w:eastAsia="Times New Roman" w:hAnsi="Times New Roman"/>
          <w:sz w:val="18"/>
          <w:szCs w:val="18"/>
          <w:color w:val="auto"/>
        </w:rPr>
        <w:t xml:space="preserve"> - D)] + (Q</w:t>
      </w:r>
      <w:r>
        <w:rPr>
          <w:rFonts w:ascii="Times New Roman" w:cs="Times New Roman" w:eastAsia="Times New Roman" w:hAnsi="Times New Roman"/>
          <w:sz w:val="12"/>
          <w:szCs w:val="12"/>
          <w:color w:val="auto"/>
        </w:rPr>
        <w:t>post</w:t>
      </w:r>
      <w:r>
        <w:rPr>
          <w:rFonts w:ascii="Times New Roman" w:cs="Times New Roman" w:eastAsia="Times New Roman" w:hAnsi="Times New Roman"/>
          <w:sz w:val="18"/>
          <w:szCs w:val="18"/>
          <w:color w:val="auto"/>
        </w:rPr>
        <w:t xml:space="preserve"> x VWAP</w:t>
      </w:r>
      <w:r>
        <w:rPr>
          <w:rFonts w:ascii="Times New Roman" w:cs="Times New Roman" w:eastAsia="Times New Roman" w:hAnsi="Times New Roman"/>
          <w:sz w:val="12"/>
          <w:szCs w:val="12"/>
          <w:color w:val="auto"/>
        </w:rPr>
        <w:t>post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3571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2"/>
          <w:szCs w:val="12"/>
          <w:color w:val="auto"/>
        </w:rPr>
        <w:t>pre</w:t>
      </w:r>
      <w:r>
        <w:rPr>
          <w:rFonts w:ascii="Times New Roman" w:cs="Times New Roman" w:eastAsia="Times New Roman" w:hAnsi="Times New Roman"/>
          <w:sz w:val="18"/>
          <w:szCs w:val="18"/>
          <w:color w:val="auto"/>
        </w:rPr>
        <w:t xml:space="preserve"> + Q</w:t>
      </w:r>
      <w:r>
        <w:rPr>
          <w:rFonts w:ascii="Times New Roman" w:cs="Times New Roman" w:eastAsia="Times New Roman" w:hAnsi="Times New Roman"/>
          <w:sz w:val="12"/>
          <w:szCs w:val="12"/>
          <w:color w:val="auto"/>
        </w:rPr>
        <w:t>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5"/>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6"/>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2026-03-30T05:55:57Z</dcterms:created>
  <dcterms:modified xsi:type="dcterms:W3CDTF">2026-03-30T05:55:57Z</dcterms:modified>
</cp:coreProperties>
</file>