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149860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141605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150495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Ordinary Shares, par value $0.0002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68373M107</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Jie Lv</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Kunlun Tech Co., Ltd.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Block B, Mingyang International Center, No. 46 Xizongbu Hutong</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Dongcheng District, Beijing, People’s Republic of China</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+86 138-1135-3317</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4, 2024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160020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4"/>
          <w:szCs w:val="24"/>
          <w:color w:val="auto"/>
        </w:rPr>
      </w:pPr>
    </w:p>
    <w:p>
      <w:pPr>
        <w:ind w:left="500" w:right="180" w:hanging="479"/>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1" w:name="page2"/>
    <w:bookmarkEnd w:id="1"/>
    <w:p>
      <w:pPr>
        <w:ind w:right="320"/>
        <w:spacing w:after="0" w:line="282" w:lineRule="auto"/>
        <w:rPr>
          <w:sz w:val="20"/>
          <w:szCs w:val="20"/>
          <w:color w:val="auto"/>
        </w:rPr>
      </w:pPr>
      <w:r>
        <w:rPr>
          <w:rFonts w:ascii="Times New Roman" w:cs="Times New Roman" w:eastAsia="Times New Roman" w:hAnsi="Times New Roman"/>
          <w:sz w:val="18"/>
          <w:szCs w:val="18"/>
          <w:color w:val="auto"/>
        </w:rPr>
        <w:t>CUSIP No. 68373M107 (Note: This CUSIP number applies to the Issuer’s American Depositary Shares (“ADSs”), which from December 6, 2024 each represent one ordinary share of the Issuer.)</w:t>
      </w:r>
    </w:p>
    <w:p>
      <w:pPr>
        <w:spacing w:after="0" w:line="175" w:lineRule="exact"/>
        <w:rPr>
          <w:sz w:val="20"/>
          <w:szCs w:val="20"/>
          <w:color w:val="auto"/>
        </w:rPr>
      </w:pPr>
    </w:p>
    <w:p>
      <w:pPr>
        <w:ind w:left="820" w:hanging="58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Kunlun Tech Holding Limited</w:t>
      </w:r>
    </w:p>
    <w:p>
      <w:pPr>
        <w:spacing w:after="0" w:line="27" w:lineRule="exact"/>
        <w:rPr>
          <w:rFonts w:ascii="Times New Roman" w:cs="Times New Roman" w:eastAsia="Times New Roman" w:hAnsi="Times New Roman"/>
          <w:sz w:val="18"/>
          <w:szCs w:val="18"/>
          <w:color w:val="auto"/>
        </w:rPr>
      </w:pPr>
    </w:p>
    <w:p>
      <w:pPr>
        <w:ind w:left="820" w:hanging="58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79" w:lineRule="exact"/>
        <w:rPr>
          <w:rFonts w:ascii="Times New Roman" w:cs="Times New Roman" w:eastAsia="Times New Roman" w:hAnsi="Times New Roman"/>
          <w:sz w:val="18"/>
          <w:szCs w:val="18"/>
          <w:color w:val="auto"/>
        </w:rPr>
      </w:pPr>
    </w:p>
    <w:p>
      <w:pPr>
        <w:ind w:left="1060" w:hanging="237"/>
        <w:spacing w:after="0" w:line="207" w:lineRule="exact"/>
        <w:tabs>
          <w:tab w:leader="none" w:pos="10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rFonts w:ascii="Times New Roman" w:cs="Times New Roman" w:eastAsia="Times New Roman" w:hAnsi="Times New Roman"/>
          <w:sz w:val="18"/>
          <w:szCs w:val="18"/>
          <w:color w:val="auto"/>
        </w:rPr>
      </w:pPr>
    </w:p>
    <w:p>
      <w:pPr>
        <w:ind w:left="820" w:hanging="58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820" w:hanging="586"/>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27" w:lineRule="exact"/>
        <w:rPr>
          <w:rFonts w:ascii="Times New Roman" w:cs="Times New Roman" w:eastAsia="Times New Roman" w:hAnsi="Times New Roman"/>
          <w:sz w:val="18"/>
          <w:szCs w:val="18"/>
          <w:color w:val="auto"/>
        </w:rPr>
      </w:pPr>
    </w:p>
    <w:p>
      <w:pPr>
        <w:ind w:left="820" w:hanging="586"/>
        <w:spacing w:after="0" w:line="207" w:lineRule="exact"/>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color w:val="auto"/>
        </w:rPr>
      </w:pPr>
    </w:p>
    <w:p>
      <w:pPr>
        <w:ind w:left="820" w:right="7840" w:hanging="586"/>
        <w:spacing w:after="0" w:line="386"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Hong Kong</w:t>
      </w:r>
    </w:p>
    <w:p>
      <w:pPr>
        <w:ind w:left="2220" w:hanging="393"/>
        <w:spacing w:after="0"/>
        <w:tabs>
          <w:tab w:leader="none" w:pos="22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
          <w:szCs w:val="1"/>
          <w:color w:val="auto"/>
        </w:rPr>
        <w:drawing>
          <wp:inline distT="0" distB="0" distL="0" distR="0">
            <wp:extent cx="33655" cy="1428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14287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-2408555</wp:posOffset>
            </wp:positionV>
            <wp:extent cx="7132320" cy="5546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546090"/>
                    </a:xfrm>
                    <a:prstGeom prst="rect">
                      <a:avLst/>
                    </a:prstGeom>
                    <a:noFill/>
                  </pic:spPr>
                </pic:pic>
              </a:graphicData>
            </a:graphic>
          </wp:anchor>
        </w:drawing>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Borders>
              <w:bottom w:val="single" w:sz="8" w:color="auto"/>
              <w:right w:val="single" w:sz="8" w:color="auto"/>
            </w:tcBorders>
          </w:tcPr>
          <w:p>
            <w:pPr>
              <w:spacing w:after="0"/>
              <w:rPr>
                <w:sz w:val="18"/>
                <w:szCs w:val="18"/>
                <w:color w:val="auto"/>
              </w:rPr>
            </w:pPr>
          </w:p>
        </w:tc>
        <w:tc>
          <w:tcPr>
            <w:tcW w:w="8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61,567,443</w:t>
            </w:r>
          </w:p>
        </w:tc>
        <w:tc>
          <w:tcPr>
            <w:tcW w:w="0" w:type="dxa"/>
            <w:vAlign w:val="bottom"/>
          </w:tcPr>
          <w:p>
            <w:pPr>
              <w:spacing w:after="0"/>
              <w:rPr>
                <w:sz w:val="1"/>
                <w:szCs w:val="1"/>
                <w:color w:val="auto"/>
              </w:rPr>
            </w:pPr>
          </w:p>
        </w:tc>
      </w:tr>
      <w:tr>
        <w:trPr>
          <w:trHeight w:val="110"/>
        </w:trPr>
        <w:tc>
          <w:tcPr>
            <w:tcW w:w="124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8"/>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Pr>
          <w:p>
            <w:pPr>
              <w:spacing w:after="0"/>
              <w:rPr>
                <w:sz w:val="10"/>
                <w:szCs w:val="10"/>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4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61,567,443</w:t>
            </w:r>
          </w:p>
        </w:tc>
        <w:tc>
          <w:tcPr>
            <w:tcW w:w="0" w:type="dxa"/>
            <w:vAlign w:val="bottom"/>
          </w:tcPr>
          <w:p>
            <w:pPr>
              <w:spacing w:after="0"/>
              <w:rPr>
                <w:sz w:val="1"/>
                <w:szCs w:val="1"/>
                <w:color w:val="auto"/>
              </w:rPr>
            </w:pPr>
          </w:p>
        </w:tc>
      </w:tr>
      <w:tr>
        <w:trPr>
          <w:trHeight w:val="167"/>
        </w:trPr>
        <w:tc>
          <w:tcPr>
            <w:tcW w:w="1240" w:type="dxa"/>
            <w:vAlign w:val="bottom"/>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right w:val="single" w:sz="8" w:color="auto"/>
            </w:tcBorders>
          </w:tcPr>
          <w:p>
            <w:pPr>
              <w:spacing w:after="0"/>
              <w:rPr>
                <w:sz w:val="14"/>
                <w:szCs w:val="14"/>
                <w:color w:val="auto"/>
              </w:rPr>
            </w:pPr>
          </w:p>
        </w:tc>
        <w:tc>
          <w:tcPr>
            <w:tcW w:w="8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820" w:right="5840" w:hanging="628"/>
        <w:spacing w:after="0" w:line="383" w:lineRule="auto"/>
        <w:tabs>
          <w:tab w:leader="none" w:pos="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61,567,443</w:t>
      </w:r>
    </w:p>
    <w:p>
      <w:pPr>
        <w:ind w:left="820" w:hanging="631"/>
        <w:spacing w:after="0" w:line="207" w:lineRule="exact"/>
        <w:tabs>
          <w:tab w:leader="none" w:pos="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color w:val="auto"/>
        </w:rPr>
      </w:pPr>
    </w:p>
    <w:p>
      <w:pPr>
        <w:ind w:left="820" w:hanging="631"/>
        <w:spacing w:after="0"/>
        <w:tabs>
          <w:tab w:leader="none" w:pos="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w:t>
      </w:r>
    </w:p>
    <w:p>
      <w:pPr>
        <w:spacing w:after="0" w:line="27" w:lineRule="exact"/>
        <w:rPr>
          <w:rFonts w:ascii="Times New Roman" w:cs="Times New Roman" w:eastAsia="Times New Roman" w:hAnsi="Times New Roman"/>
          <w:sz w:val="18"/>
          <w:szCs w:val="18"/>
          <w:color w:val="auto"/>
        </w:rPr>
      </w:pPr>
    </w:p>
    <w:p>
      <w:pPr>
        <w:ind w:left="820" w:hanging="631"/>
        <w:spacing w:after="0"/>
        <w:tabs>
          <w:tab w:leader="none" w:pos="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38" w:lineRule="exact"/>
        <w:rPr>
          <w:rFonts w:ascii="Times New Roman" w:cs="Times New Roman" w:eastAsia="Times New Roman" w:hAnsi="Times New Roman"/>
          <w:sz w:val="18"/>
          <w:szCs w:val="18"/>
          <w:color w:val="auto"/>
        </w:rPr>
      </w:pPr>
    </w:p>
    <w:p>
      <w:pPr>
        <w:ind w:left="500" w:right="60" w:hanging="47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is based upon 88,480,154 ordinary shares outstanding of the Issuer following the share consolidation of the Issuer effective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68373M107</w:t>
      </w:r>
    </w:p>
    <w:p>
      <w:pPr>
        <w:spacing w:after="0" w:line="239" w:lineRule="exact"/>
        <w:rPr>
          <w:sz w:val="20"/>
          <w:szCs w:val="20"/>
          <w:color w:val="auto"/>
        </w:rPr>
      </w:pPr>
    </w:p>
    <w:p>
      <w:pPr>
        <w:ind w:left="820" w:right="8420" w:hanging="586"/>
        <w:spacing w:after="0" w:line="386"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Kunlun Group Limited</w:t>
      </w:r>
    </w:p>
    <w:p>
      <w:pPr>
        <w:ind w:left="820" w:hanging="58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79" w:lineRule="exact"/>
        <w:rPr>
          <w:rFonts w:ascii="Times New Roman" w:cs="Times New Roman" w:eastAsia="Times New Roman" w:hAnsi="Times New Roman"/>
          <w:sz w:val="18"/>
          <w:szCs w:val="18"/>
          <w:color w:val="auto"/>
        </w:rPr>
      </w:pPr>
    </w:p>
    <w:p>
      <w:pPr>
        <w:ind w:left="1060" w:hanging="237"/>
        <w:spacing w:after="0" w:line="207" w:lineRule="exact"/>
        <w:tabs>
          <w:tab w:leader="none" w:pos="106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rFonts w:ascii="Times New Roman" w:cs="Times New Roman" w:eastAsia="Times New Roman" w:hAnsi="Times New Roman"/>
          <w:sz w:val="18"/>
          <w:szCs w:val="18"/>
          <w:color w:val="auto"/>
        </w:rPr>
      </w:pPr>
    </w:p>
    <w:p>
      <w:pPr>
        <w:ind w:left="820" w:hanging="58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820" w:hanging="58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27" w:lineRule="exact"/>
        <w:rPr>
          <w:rFonts w:ascii="Times New Roman" w:cs="Times New Roman" w:eastAsia="Times New Roman" w:hAnsi="Times New Roman"/>
          <w:sz w:val="18"/>
          <w:szCs w:val="18"/>
          <w:color w:val="auto"/>
        </w:rPr>
      </w:pPr>
    </w:p>
    <w:p>
      <w:pPr>
        <w:ind w:left="820" w:hanging="586"/>
        <w:spacing w:after="0" w:line="207" w:lineRule="exact"/>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color w:val="auto"/>
        </w:rPr>
      </w:pPr>
    </w:p>
    <w:p>
      <w:pPr>
        <w:ind w:left="820" w:right="7840" w:hanging="586"/>
        <w:spacing w:after="0" w:line="386"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Hong Kong</w:t>
      </w:r>
    </w:p>
    <w:p>
      <w:pPr>
        <w:ind w:left="2220" w:hanging="393"/>
        <w:spacing w:after="0"/>
        <w:tabs>
          <w:tab w:leader="none" w:pos="22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
          <w:szCs w:val="1"/>
          <w:color w:val="auto"/>
        </w:rPr>
        <w:drawing>
          <wp:inline distT="0" distB="0" distL="0" distR="0">
            <wp:extent cx="33655" cy="1428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14287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-2408555</wp:posOffset>
            </wp:positionV>
            <wp:extent cx="7132320" cy="5546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546090"/>
                    </a:xfrm>
                    <a:prstGeom prst="rect">
                      <a:avLst/>
                    </a:prstGeom>
                    <a:noFill/>
                  </pic:spPr>
                </pic:pic>
              </a:graphicData>
            </a:graphic>
          </wp:anchor>
        </w:drawing>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Borders>
              <w:bottom w:val="single" w:sz="8" w:color="auto"/>
              <w:right w:val="single" w:sz="8" w:color="auto"/>
            </w:tcBorders>
          </w:tcPr>
          <w:p>
            <w:pPr>
              <w:spacing w:after="0"/>
              <w:rPr>
                <w:sz w:val="18"/>
                <w:szCs w:val="18"/>
                <w:color w:val="auto"/>
              </w:rPr>
            </w:pPr>
          </w:p>
        </w:tc>
        <w:tc>
          <w:tcPr>
            <w:tcW w:w="8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41,885,809</w:t>
            </w:r>
          </w:p>
        </w:tc>
        <w:tc>
          <w:tcPr>
            <w:tcW w:w="0" w:type="dxa"/>
            <w:vAlign w:val="bottom"/>
          </w:tcPr>
          <w:p>
            <w:pPr>
              <w:spacing w:after="0"/>
              <w:rPr>
                <w:sz w:val="1"/>
                <w:szCs w:val="1"/>
                <w:color w:val="auto"/>
              </w:rPr>
            </w:pPr>
          </w:p>
        </w:tc>
      </w:tr>
      <w:tr>
        <w:trPr>
          <w:trHeight w:val="110"/>
        </w:trPr>
        <w:tc>
          <w:tcPr>
            <w:tcW w:w="124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8"/>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Pr>
          <w:p>
            <w:pPr>
              <w:spacing w:after="0"/>
              <w:rPr>
                <w:sz w:val="10"/>
                <w:szCs w:val="10"/>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4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41,885,809</w:t>
            </w:r>
          </w:p>
        </w:tc>
        <w:tc>
          <w:tcPr>
            <w:tcW w:w="0" w:type="dxa"/>
            <w:vAlign w:val="bottom"/>
          </w:tcPr>
          <w:p>
            <w:pPr>
              <w:spacing w:after="0"/>
              <w:rPr>
                <w:sz w:val="1"/>
                <w:szCs w:val="1"/>
                <w:color w:val="auto"/>
              </w:rPr>
            </w:pPr>
          </w:p>
        </w:tc>
      </w:tr>
      <w:tr>
        <w:trPr>
          <w:trHeight w:val="167"/>
        </w:trPr>
        <w:tc>
          <w:tcPr>
            <w:tcW w:w="1240" w:type="dxa"/>
            <w:vAlign w:val="bottom"/>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right w:val="single" w:sz="8" w:color="auto"/>
            </w:tcBorders>
          </w:tcPr>
          <w:p>
            <w:pPr>
              <w:spacing w:after="0"/>
              <w:rPr>
                <w:sz w:val="14"/>
                <w:szCs w:val="14"/>
                <w:color w:val="auto"/>
              </w:rPr>
            </w:pPr>
          </w:p>
        </w:tc>
        <w:tc>
          <w:tcPr>
            <w:tcW w:w="8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820" w:right="5840" w:hanging="628"/>
        <w:spacing w:after="0" w:line="383" w:lineRule="auto"/>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41,885,809</w:t>
      </w:r>
    </w:p>
    <w:p>
      <w:pPr>
        <w:ind w:left="820" w:hanging="631"/>
        <w:spacing w:after="0" w:line="207" w:lineRule="exact"/>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color w:val="auto"/>
        </w:rPr>
      </w:pPr>
    </w:p>
    <w:p>
      <w:pPr>
        <w:ind w:left="820" w:hanging="631"/>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w:t>
      </w:r>
    </w:p>
    <w:p>
      <w:pPr>
        <w:spacing w:after="0" w:line="27" w:lineRule="exact"/>
        <w:rPr>
          <w:rFonts w:ascii="Times New Roman" w:cs="Times New Roman" w:eastAsia="Times New Roman" w:hAnsi="Times New Roman"/>
          <w:sz w:val="18"/>
          <w:szCs w:val="18"/>
          <w:color w:val="auto"/>
        </w:rPr>
      </w:pPr>
    </w:p>
    <w:p>
      <w:pPr>
        <w:ind w:left="820" w:hanging="631"/>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38" w:lineRule="exact"/>
        <w:rPr>
          <w:rFonts w:ascii="Times New Roman" w:cs="Times New Roman" w:eastAsia="Times New Roman" w:hAnsi="Times New Roman"/>
          <w:sz w:val="18"/>
          <w:szCs w:val="18"/>
          <w:color w:val="auto"/>
        </w:rPr>
      </w:pPr>
    </w:p>
    <w:p>
      <w:pPr>
        <w:ind w:left="500" w:right="60" w:hanging="47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is based upon 88,480,154 ordinary shares outstanding of the Issuer following the share consolidation of the Issuer effective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68373M107</w:t>
      </w:r>
    </w:p>
    <w:p>
      <w:pPr>
        <w:spacing w:after="0" w:line="239" w:lineRule="exact"/>
        <w:rPr>
          <w:sz w:val="20"/>
          <w:szCs w:val="20"/>
          <w:color w:val="auto"/>
        </w:rPr>
      </w:pPr>
    </w:p>
    <w:p>
      <w:pPr>
        <w:ind w:left="820" w:right="8420" w:hanging="586"/>
        <w:spacing w:after="0" w:line="38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Kunlun Tech Co., Ltd.</w:t>
      </w:r>
    </w:p>
    <w:p>
      <w:pPr>
        <w:ind w:left="820" w:hanging="58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79" w:lineRule="exact"/>
        <w:rPr>
          <w:rFonts w:ascii="Times New Roman" w:cs="Times New Roman" w:eastAsia="Times New Roman" w:hAnsi="Times New Roman"/>
          <w:sz w:val="18"/>
          <w:szCs w:val="18"/>
          <w:color w:val="auto"/>
        </w:rPr>
      </w:pPr>
    </w:p>
    <w:p>
      <w:pPr>
        <w:ind w:left="1060" w:hanging="237"/>
        <w:spacing w:after="0" w:line="207" w:lineRule="exact"/>
        <w:tabs>
          <w:tab w:leader="none" w:pos="10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rFonts w:ascii="Times New Roman" w:cs="Times New Roman" w:eastAsia="Times New Roman" w:hAnsi="Times New Roman"/>
          <w:sz w:val="18"/>
          <w:szCs w:val="18"/>
          <w:color w:val="auto"/>
        </w:rPr>
      </w:pPr>
    </w:p>
    <w:p>
      <w:pPr>
        <w:ind w:left="820" w:hanging="58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820" w:hanging="58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27" w:lineRule="exact"/>
        <w:rPr>
          <w:rFonts w:ascii="Times New Roman" w:cs="Times New Roman" w:eastAsia="Times New Roman" w:hAnsi="Times New Roman"/>
          <w:sz w:val="18"/>
          <w:szCs w:val="18"/>
          <w:color w:val="auto"/>
        </w:rPr>
      </w:pPr>
    </w:p>
    <w:p>
      <w:pPr>
        <w:ind w:left="820" w:hanging="586"/>
        <w:spacing w:after="0" w:line="207" w:lineRule="exact"/>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color w:val="auto"/>
        </w:rPr>
      </w:pPr>
    </w:p>
    <w:p>
      <w:pPr>
        <w:ind w:left="820" w:right="7840" w:hanging="586"/>
        <w:spacing w:after="0" w:line="409" w:lineRule="auto"/>
        <w:tabs>
          <w:tab w:leader="none" w:pos="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People’s Republic of China</w:t>
      </w:r>
    </w:p>
    <w:p>
      <w:pPr>
        <w:ind w:left="2220" w:hanging="393"/>
        <w:spacing w:after="0"/>
        <w:tabs>
          <w:tab w:leader="none" w:pos="22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
          <w:szCs w:val="1"/>
          <w:color w:val="auto"/>
        </w:rPr>
        <w:drawing>
          <wp:inline distT="0" distB="0" distL="0" distR="0">
            <wp:extent cx="33655" cy="1428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14287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-2408555</wp:posOffset>
            </wp:positionV>
            <wp:extent cx="7132320" cy="5546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546090"/>
                    </a:xfrm>
                    <a:prstGeom prst="rect">
                      <a:avLst/>
                    </a:prstGeom>
                    <a:noFill/>
                  </pic:spPr>
                </pic:pic>
              </a:graphicData>
            </a:graphic>
          </wp:anchor>
        </w:drawing>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Borders>
              <w:bottom w:val="single" w:sz="8" w:color="auto"/>
              <w:right w:val="single" w:sz="8" w:color="auto"/>
            </w:tcBorders>
          </w:tcPr>
          <w:p>
            <w:pPr>
              <w:spacing w:after="0"/>
              <w:rPr>
                <w:sz w:val="18"/>
                <w:szCs w:val="18"/>
                <w:color w:val="auto"/>
              </w:rPr>
            </w:pPr>
          </w:p>
        </w:tc>
        <w:tc>
          <w:tcPr>
            <w:tcW w:w="8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61,567,443</w:t>
            </w:r>
          </w:p>
        </w:tc>
        <w:tc>
          <w:tcPr>
            <w:tcW w:w="0" w:type="dxa"/>
            <w:vAlign w:val="bottom"/>
          </w:tcPr>
          <w:p>
            <w:pPr>
              <w:spacing w:after="0"/>
              <w:rPr>
                <w:sz w:val="1"/>
                <w:szCs w:val="1"/>
                <w:color w:val="auto"/>
              </w:rPr>
            </w:pPr>
          </w:p>
        </w:tc>
      </w:tr>
      <w:tr>
        <w:trPr>
          <w:trHeight w:val="110"/>
        </w:trPr>
        <w:tc>
          <w:tcPr>
            <w:tcW w:w="124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8"/>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Pr>
          <w:p>
            <w:pPr>
              <w:spacing w:after="0"/>
              <w:rPr>
                <w:sz w:val="10"/>
                <w:szCs w:val="10"/>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4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61,567,443</w:t>
            </w:r>
          </w:p>
        </w:tc>
        <w:tc>
          <w:tcPr>
            <w:tcW w:w="0" w:type="dxa"/>
            <w:vAlign w:val="bottom"/>
          </w:tcPr>
          <w:p>
            <w:pPr>
              <w:spacing w:after="0"/>
              <w:rPr>
                <w:sz w:val="1"/>
                <w:szCs w:val="1"/>
                <w:color w:val="auto"/>
              </w:rPr>
            </w:pPr>
          </w:p>
        </w:tc>
      </w:tr>
      <w:tr>
        <w:trPr>
          <w:trHeight w:val="167"/>
        </w:trPr>
        <w:tc>
          <w:tcPr>
            <w:tcW w:w="1240" w:type="dxa"/>
            <w:vAlign w:val="bottom"/>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right w:val="single" w:sz="8" w:color="auto"/>
            </w:tcBorders>
          </w:tcPr>
          <w:p>
            <w:pPr>
              <w:spacing w:after="0"/>
              <w:rPr>
                <w:sz w:val="14"/>
                <w:szCs w:val="14"/>
                <w:color w:val="auto"/>
              </w:rPr>
            </w:pPr>
          </w:p>
        </w:tc>
        <w:tc>
          <w:tcPr>
            <w:tcW w:w="8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820" w:right="5840" w:hanging="628"/>
        <w:spacing w:after="0" w:line="383" w:lineRule="auto"/>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61,567,443</w:t>
      </w:r>
    </w:p>
    <w:p>
      <w:pPr>
        <w:ind w:left="820" w:hanging="631"/>
        <w:spacing w:after="0" w:line="207" w:lineRule="exact"/>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color w:val="auto"/>
        </w:rPr>
      </w:pPr>
    </w:p>
    <w:p>
      <w:pPr>
        <w:ind w:left="820" w:hanging="631"/>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w:t>
      </w:r>
    </w:p>
    <w:p>
      <w:pPr>
        <w:spacing w:after="0" w:line="27" w:lineRule="exact"/>
        <w:rPr>
          <w:rFonts w:ascii="Times New Roman" w:cs="Times New Roman" w:eastAsia="Times New Roman" w:hAnsi="Times New Roman"/>
          <w:sz w:val="18"/>
          <w:szCs w:val="18"/>
          <w:color w:val="auto"/>
        </w:rPr>
      </w:pPr>
    </w:p>
    <w:p>
      <w:pPr>
        <w:ind w:left="820" w:hanging="631"/>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38" w:lineRule="exact"/>
        <w:rPr>
          <w:rFonts w:ascii="Times New Roman" w:cs="Times New Roman" w:eastAsia="Times New Roman" w:hAnsi="Times New Roman"/>
          <w:sz w:val="18"/>
          <w:szCs w:val="18"/>
          <w:color w:val="auto"/>
        </w:rPr>
      </w:pPr>
    </w:p>
    <w:p>
      <w:pPr>
        <w:ind w:left="500" w:right="60" w:hanging="47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is based upon 88,480,154 ordinary shares outstanding of the Issuer following the share consolidation of the Issuer effective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68373M107</w:t>
      </w:r>
    </w:p>
    <w:p>
      <w:pPr>
        <w:spacing w:after="0" w:line="239" w:lineRule="exact"/>
        <w:rPr>
          <w:sz w:val="20"/>
          <w:szCs w:val="20"/>
          <w:color w:val="auto"/>
        </w:rPr>
      </w:pPr>
    </w:p>
    <w:p>
      <w:pPr>
        <w:ind w:left="820" w:right="8420" w:hanging="586"/>
        <w:spacing w:after="0" w:line="38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Yahui Zhou</w:t>
      </w:r>
    </w:p>
    <w:p>
      <w:pPr>
        <w:ind w:left="820" w:hanging="58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79" w:lineRule="exact"/>
        <w:rPr>
          <w:rFonts w:ascii="Times New Roman" w:cs="Times New Roman" w:eastAsia="Times New Roman" w:hAnsi="Times New Roman"/>
          <w:sz w:val="18"/>
          <w:szCs w:val="18"/>
          <w:color w:val="auto"/>
        </w:rPr>
      </w:pPr>
    </w:p>
    <w:p>
      <w:pPr>
        <w:ind w:left="1060" w:hanging="237"/>
        <w:spacing w:after="0" w:line="207" w:lineRule="exact"/>
        <w:tabs>
          <w:tab w:leader="none" w:pos="106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rFonts w:ascii="Times New Roman" w:cs="Times New Roman" w:eastAsia="Times New Roman" w:hAnsi="Times New Roman"/>
          <w:sz w:val="18"/>
          <w:szCs w:val="18"/>
          <w:color w:val="auto"/>
        </w:rPr>
      </w:pPr>
    </w:p>
    <w:p>
      <w:pPr>
        <w:ind w:left="820" w:hanging="58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8" w:lineRule="exact"/>
        <w:rPr>
          <w:rFonts w:ascii="Times New Roman" w:cs="Times New Roman" w:eastAsia="Times New Roman" w:hAnsi="Times New Roman"/>
          <w:sz w:val="18"/>
          <w:szCs w:val="18"/>
          <w:color w:val="auto"/>
        </w:rPr>
      </w:pPr>
    </w:p>
    <w:p>
      <w:pPr>
        <w:ind w:left="820" w:hanging="58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27" w:lineRule="exact"/>
        <w:rPr>
          <w:rFonts w:ascii="Times New Roman" w:cs="Times New Roman" w:eastAsia="Times New Roman" w:hAnsi="Times New Roman"/>
          <w:sz w:val="18"/>
          <w:szCs w:val="18"/>
          <w:color w:val="auto"/>
        </w:rPr>
      </w:pPr>
    </w:p>
    <w:p>
      <w:pPr>
        <w:ind w:left="820" w:hanging="586"/>
        <w:spacing w:after="0" w:line="207" w:lineRule="exact"/>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color w:val="auto"/>
        </w:rPr>
      </w:pPr>
    </w:p>
    <w:p>
      <w:pPr>
        <w:ind w:left="820" w:right="7840" w:hanging="586"/>
        <w:spacing w:after="0" w:line="409" w:lineRule="auto"/>
        <w:tabs>
          <w:tab w:leader="none" w:pos="8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People’s Republic of China</w:t>
      </w:r>
    </w:p>
    <w:p>
      <w:pPr>
        <w:ind w:left="2220" w:hanging="393"/>
        <w:spacing w:after="0"/>
        <w:tabs>
          <w:tab w:leader="none" w:pos="22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
          <w:szCs w:val="1"/>
          <w:color w:val="auto"/>
        </w:rPr>
        <w:drawing>
          <wp:inline distT="0" distB="0" distL="0" distR="0">
            <wp:extent cx="33655" cy="1428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14287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-2408555</wp:posOffset>
            </wp:positionV>
            <wp:extent cx="7132320" cy="5546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546090"/>
                    </a:xfrm>
                    <a:prstGeom prst="rect">
                      <a:avLst/>
                    </a:prstGeom>
                    <a:noFill/>
                  </pic:spPr>
                </pic:pic>
              </a:graphicData>
            </a:graphic>
          </wp:anchor>
        </w:drawing>
      </w:r>
    </w:p>
    <w:p>
      <w:pPr>
        <w:spacing w:after="0" w:line="19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Borders>
              <w:bottom w:val="single" w:sz="8" w:color="auto"/>
              <w:right w:val="single" w:sz="8" w:color="auto"/>
            </w:tcBorders>
          </w:tcPr>
          <w:p>
            <w:pPr>
              <w:spacing w:after="0"/>
              <w:rPr>
                <w:sz w:val="18"/>
                <w:szCs w:val="18"/>
                <w:color w:val="auto"/>
              </w:rPr>
            </w:pPr>
          </w:p>
        </w:tc>
        <w:tc>
          <w:tcPr>
            <w:tcW w:w="8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61,567,443</w:t>
            </w:r>
          </w:p>
        </w:tc>
        <w:tc>
          <w:tcPr>
            <w:tcW w:w="0" w:type="dxa"/>
            <w:vAlign w:val="bottom"/>
          </w:tcPr>
          <w:p>
            <w:pPr>
              <w:spacing w:after="0"/>
              <w:rPr>
                <w:sz w:val="1"/>
                <w:szCs w:val="1"/>
                <w:color w:val="auto"/>
              </w:rPr>
            </w:pPr>
          </w:p>
        </w:tc>
      </w:tr>
      <w:tr>
        <w:trPr>
          <w:trHeight w:val="110"/>
        </w:trPr>
        <w:tc>
          <w:tcPr>
            <w:tcW w:w="124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18"/>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Pr>
          <w:p>
            <w:pPr>
              <w:spacing w:after="0"/>
              <w:rPr>
                <w:sz w:val="10"/>
                <w:szCs w:val="10"/>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4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61,567,443</w:t>
            </w:r>
          </w:p>
        </w:tc>
        <w:tc>
          <w:tcPr>
            <w:tcW w:w="0" w:type="dxa"/>
            <w:vAlign w:val="bottom"/>
          </w:tcPr>
          <w:p>
            <w:pPr>
              <w:spacing w:after="0"/>
              <w:rPr>
                <w:sz w:val="1"/>
                <w:szCs w:val="1"/>
                <w:color w:val="auto"/>
              </w:rPr>
            </w:pPr>
          </w:p>
        </w:tc>
      </w:tr>
      <w:tr>
        <w:trPr>
          <w:trHeight w:val="167"/>
        </w:trPr>
        <w:tc>
          <w:tcPr>
            <w:tcW w:w="1240" w:type="dxa"/>
            <w:vAlign w:val="bottom"/>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right w:val="single" w:sz="8" w:color="auto"/>
            </w:tcBorders>
          </w:tcPr>
          <w:p>
            <w:pPr>
              <w:spacing w:after="0"/>
              <w:rPr>
                <w:sz w:val="14"/>
                <w:szCs w:val="14"/>
                <w:color w:val="auto"/>
              </w:rPr>
            </w:pPr>
          </w:p>
        </w:tc>
        <w:tc>
          <w:tcPr>
            <w:tcW w:w="8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820" w:right="5840" w:hanging="628"/>
        <w:spacing w:after="0" w:line="383" w:lineRule="auto"/>
        <w:tabs>
          <w:tab w:leader="none" w:pos="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61,567,443</w:t>
      </w:r>
    </w:p>
    <w:p>
      <w:pPr>
        <w:ind w:left="820" w:hanging="631"/>
        <w:spacing w:after="0" w:line="207" w:lineRule="exact"/>
        <w:tabs>
          <w:tab w:leader="none" w:pos="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color w:val="auto"/>
        </w:rPr>
      </w:pPr>
    </w:p>
    <w:p>
      <w:pPr>
        <w:ind w:left="820" w:hanging="631"/>
        <w:spacing w:after="0"/>
        <w:tabs>
          <w:tab w:leader="none" w:pos="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w:t>
      </w:r>
    </w:p>
    <w:p>
      <w:pPr>
        <w:spacing w:after="0" w:line="27" w:lineRule="exact"/>
        <w:rPr>
          <w:rFonts w:ascii="Times New Roman" w:cs="Times New Roman" w:eastAsia="Times New Roman" w:hAnsi="Times New Roman"/>
          <w:sz w:val="18"/>
          <w:szCs w:val="18"/>
          <w:color w:val="auto"/>
        </w:rPr>
      </w:pPr>
    </w:p>
    <w:p>
      <w:pPr>
        <w:ind w:left="820" w:hanging="631"/>
        <w:spacing w:after="0"/>
        <w:tabs>
          <w:tab w:leader="none" w:pos="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0"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38" w:lineRule="exact"/>
        <w:rPr>
          <w:rFonts w:ascii="Times New Roman" w:cs="Times New Roman" w:eastAsia="Times New Roman" w:hAnsi="Times New Roman"/>
          <w:sz w:val="18"/>
          <w:szCs w:val="18"/>
          <w:color w:val="auto"/>
        </w:rPr>
      </w:pPr>
    </w:p>
    <w:p>
      <w:pPr>
        <w:ind w:left="500" w:right="60" w:hanging="47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is based upon 88,480,154 ordinary shares outstanding of the Issuer following the share consolidation of the Issuer effective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Ordinary Shares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Opera Limited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Vitaminveien 4, 0485 Oslo, Norway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Comment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No. 7 to Schedule 13D (this “Amendment”) hereby amends and supplements the initial Schedule 13D filed with the U.S. Securities and Exchange Commission (“SEC”) on March 6, 2019, as amended on January 13, 2021, November 26, 2021, December 19, 2022, May 16, 2023, July 5, 2023, and Oct 19, 2023 (as so amended, the “Original Schedule 13D”, as amended and supplemented by this Amendment, this “Schedule 13D”), on behalf of each of the Reporting Persons (as defined below) herein.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amended and supplemented herein, the information set forth in the Original Schedule 13D remains in effect, and capitalized terms used but not defined herein have the meanings assigned thereto in the Original Schedule 13D.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3620" w:firstLine="8"/>
        <w:spacing w:after="0" w:line="500"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Item 2 of the Original Schedule 13D is hereby amended and replaced in its entirety as follows: This Schedule is being jointly filed by the following persons:</w:t>
      </w:r>
    </w:p>
    <w:p>
      <w:pPr>
        <w:spacing w:after="0" w:line="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Kunlun Tech Holding Limited, a limited liability company incorporated in Hong Kong (“KTL”), with its registered address at FLAT/RM 3561, 35/F, Central Plaza, 18 Harbour Road, Wanchai, HK, and its principal business in investment holding;</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Kunlun Group Limited, a limited liability company incorporated in Hong Kong (“KGL”), with its registered address at RM 3508, 35/F., Central Plaza, 18 Harbour Road, Wanchai, Hong Kong, and its principal business in investment holding;</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Kunlun Tech Co., Ltd., a company incorporated in the People’s Republic of China (“KTC”, together with KTL and KGL, the “Kunlun Entities”) and previously named Beijing Kunlun Tech Co., Ltd., with its business address at 46 Xizongbu Hutong, Mingyang International Center, Block B, Dongcheng District, Beijing 100005, People’s Republic of China. KTC is a global internet company listed on the Shenzhen Stock Exchange in January 2015;</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Yahui Zhou, citizen of the People’s Republic of China, chairman of the board of directors and the chief executive officer of the Issuer, with his business address at 10/F, 46 Xizongbu hutong, Mingyang International Center, Block B, Dongcheng District, Beijing 100005, People’s Republic of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KTL, KGL, KTC and Mr. Yahui Zhou are collectively referred to as “Reporting Persons.”</w:t>
      </w:r>
    </w:p>
    <w:p>
      <w:pPr>
        <w:spacing w:after="0" w:line="225" w:lineRule="exact"/>
        <w:rPr>
          <w:sz w:val="20"/>
          <w:szCs w:val="20"/>
          <w:color w:val="auto"/>
        </w:rPr>
      </w:pPr>
    </w:p>
    <w:p>
      <w:pPr>
        <w:ind w:firstLine="8"/>
        <w:spacing w:after="0" w:line="282" w:lineRule="auto"/>
        <w:tabs>
          <w:tab w:leader="none" w:pos="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business address, present principal occupation or employment and citizenship of the directors, executive officers and control persons of KTL, KGL and KTC as of the date hereof is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B and Schedule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KTL is the holder of the 61,567,443 ordinary shares reported on this Schedule 13D, which amount consists of (i) 54,833,333 ordinary shares and (ii) 6,734,110 ADSs, each representing one ordinary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KTL is 68.03% owned by KGL and 31.97% owned by KTC. KGL is wholly owned by KTC.</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Yahui Zhou is the chairman of the board and chief executive officer of the Issuer. He beneficially owns 61,567,443 ordinary shares of the Issuer (consisting of 54,833,333 ordinary shares and 6,734,110 ADSs, each representing one ordinary share, held by KTL, which is indirectly wholly-owned by KTC). Mr. Zhou directly holds 11.77% of the equity interest of KTC and indirectly holds 15.41% through Xinyu Yingrui Century Software R&amp;D Center L.P., a limited partnership established in the People’s Republic of China (“Xinyu Yingrui”), which is co-owned by Mr. Zhou and Ms. Qiong Li. Mr. Zhou, holds 54.8% of the equity interest of Xinyu Yingrui and, as the general partner, has sole decision making authority in terms of how the partnership exercises its ownership rights in KTC.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number of total outstanding shares of the Issuer as of December 6, 2024 is 88,480,154.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 None of the Reporting Persons and, to the best of their knowledge, the persons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B and Schedule C</w:t>
      </w:r>
      <w:r>
        <w:rPr>
          <w:rFonts w:ascii="Times New Roman" w:cs="Times New Roman" w:eastAsia="Times New Roman" w:hAnsi="Times New Roman"/>
          <w:sz w:val="18"/>
          <w:szCs w:val="18"/>
          <w:color w:val="auto"/>
        </w:rPr>
        <w:t xml:space="preserve"> hereto, has, during the last five years, been (i) convicted in a criminal proceeding (excluding traffic violations or similar misdemeanors) or (ii) a party to a civil proceeding of a judicial or administrative body of competent jurisdiction or subject to any judgment, decree or final order finding any violation of federal or state securities laws or enjoining future violations of, or prohibiting or mandating activities subject to, such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previously reported their beneficial ownership in the Issuer’s Ordinary Shares on Schedule 13G filed on February 14,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Original Schedule 13D is hereby amended and replaced in its entirety as follows: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4, 2024, KTL filed a Form 144 Notice of Proposed Sale of up to 2,442,700 ADSs in accordance with Rule 144 at a net price per share of $18.46.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Reporting Persons intend to monitor and evaluate their investment on an ongoing basis and expect regularly to review and consider alternative ways of maximizing their return on such investment. Subject to applicable securities laws and regulations, market conditions and other factors, the Reporting Persons plan to sell such shares beneficially owned by them at any time and from time to time, in the open market, in a privately negotiated transaction or otherwise, to diversify their investment portfolio.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exploring ways to maximize the return on its investment, and as part of its ongoing investment activities, the Reporting Persons may engage in discussions with representatives of the Issuer and/or with other holders of the Issuer’s securities and, from time to time, suggest or take a position regarding, or participate in, a variety of matters relating to the Issuer, which may include, among other things, the Issuer’s operations, management, corporate governance, capital structure or its control, strategic alternatives and direction. To facilitate its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set forth in this Amendment No. 7, the Reporting Persons have no present plans or proposals which relate to or would result in any of the matters set forth in clauses (a) through (j) of Item 4 of Schedule 13D; provided that the Reporting Persons may, at any time, review or reconsider their position with respect to the Issuer and reserve the right to develop such plans or proposals.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replaced in its entirety as follows: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 The responses of each Reporting Person to Rows (7) through (13) of the cover pages of this Schedule 13D are hereby incorporated by reference into this Item 5.</w:t>
      </w:r>
    </w:p>
    <w:p>
      <w:pPr>
        <w:spacing w:after="0" w:line="162" w:lineRule="exact"/>
        <w:rPr>
          <w:sz w:val="20"/>
          <w:szCs w:val="20"/>
          <w:color w:val="auto"/>
        </w:rPr>
      </w:pPr>
    </w:p>
    <w:p>
      <w:pPr>
        <w:ind w:firstLine="8"/>
        <w:spacing w:after="0" w:line="282"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KTL, as the selling shareholder, agreed to sell a total of 2,442,700 ADSs at US$18.46 to an unaffiliated third party in a privately negotiated transaction. The sale was completed on December 6, 2024.</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otherwise transacted in the Issuer’s securities within the prior 90 days. To the best knowledge of the Reporting Persons, no person other than the Reporting Persons has the right to receive or the power to direct the receipt of dividends from, or the proceeds from the sale of, the securities beneficially owned by the Reporting Persons identified in this Item 5.</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4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Hong Kong Kunlun Tech Holding Limited</w:t>
      </w:r>
    </w:p>
    <w:p>
      <w:pPr>
        <w:spacing w:after="0" w:line="229"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 Jin</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Tian Jin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Kunlun Group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 Jin</w:t>
            </w:r>
          </w:p>
        </w:tc>
      </w:tr>
      <w:tr>
        <w:trPr>
          <w:trHeight w:val="191"/>
        </w:trPr>
        <w:tc>
          <w:tcPr>
            <w:tcW w:w="6440" w:type="dxa"/>
            <w:vAlign w:val="bottom"/>
          </w:tcPr>
          <w:p>
            <w:pPr>
              <w:ind w:left="5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Tian Jin</w:t>
            </w:r>
          </w:p>
        </w:tc>
      </w:tr>
      <w:tr>
        <w:trPr>
          <w:trHeight w:val="234"/>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1240" w:type="dxa"/>
            <w:vAlign w:val="bottom"/>
            <w:gridSpan w:val="2"/>
          </w:tcPr>
          <w:p>
            <w:pPr>
              <w:ind w:left="5760"/>
              <w:spacing w:after="0"/>
              <w:rPr>
                <w:sz w:val="20"/>
                <w:szCs w:val="20"/>
                <w:color w:val="auto"/>
              </w:rPr>
            </w:pPr>
            <w:r>
              <w:rPr>
                <w:rFonts w:ascii="Times New Roman" w:cs="Times New Roman" w:eastAsia="Times New Roman" w:hAnsi="Times New Roman"/>
                <w:sz w:val="18"/>
                <w:szCs w:val="18"/>
                <w:b w:val="1"/>
                <w:bCs w:val="1"/>
                <w:color w:val="auto"/>
              </w:rPr>
              <w:t>Kunlun Tech Co., Ltd.</w:t>
            </w:r>
          </w:p>
        </w:tc>
      </w:tr>
      <w:tr>
        <w:trPr>
          <w:trHeight w:val="432"/>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 Fang</w:t>
            </w:r>
          </w:p>
        </w:tc>
      </w:tr>
      <w:tr>
        <w:trPr>
          <w:trHeight w:val="191"/>
        </w:trPr>
        <w:tc>
          <w:tcPr>
            <w:tcW w:w="6440" w:type="dxa"/>
            <w:vAlign w:val="bottom"/>
          </w:tcPr>
          <w:p>
            <w:pPr>
              <w:ind w:left="5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 Fang</w:t>
            </w:r>
          </w:p>
        </w:tc>
      </w:tr>
      <w:tr>
        <w:trPr>
          <w:trHeight w:val="234"/>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1240" w:type="dxa"/>
            <w:vAlign w:val="bottom"/>
            <w:gridSpan w:val="2"/>
          </w:tcPr>
          <w:p>
            <w:pPr>
              <w:ind w:left="5760"/>
              <w:spacing w:after="0"/>
              <w:rPr>
                <w:sz w:val="20"/>
                <w:szCs w:val="20"/>
                <w:color w:val="auto"/>
              </w:rPr>
            </w:pPr>
            <w:r>
              <w:rPr>
                <w:rFonts w:ascii="Times New Roman" w:cs="Times New Roman" w:eastAsia="Times New Roman" w:hAnsi="Times New Roman"/>
                <w:sz w:val="18"/>
                <w:szCs w:val="18"/>
                <w:b w:val="1"/>
                <w:bCs w:val="1"/>
                <w:color w:val="auto"/>
              </w:rPr>
              <w:t>Yahui Zhou</w:t>
            </w:r>
          </w:p>
        </w:tc>
      </w:tr>
      <w:tr>
        <w:trPr>
          <w:trHeight w:val="432"/>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Yahui Zhou</w:t>
            </w:r>
          </w:p>
        </w:tc>
      </w:tr>
      <w:tr>
        <w:trPr>
          <w:trHeight w:val="228"/>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Yahui Zhou</w:t>
            </w:r>
          </w:p>
        </w:tc>
      </w:tr>
      <w:tr>
        <w:trPr>
          <w:trHeight w:val="961"/>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 of Hong Kong Kunlun Tech Holding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address of each of the following directors and executive officers is FLAT/RM 3561, 35/F, Central Plaza, 18 Harbour Road, Wanchai, HK.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53"/>
        </w:trPr>
        <w:tc>
          <w:tcPr>
            <w:tcW w:w="78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Tian Jin</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Sing Wang</w:t>
            </w: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HK</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Guang Yang</w:t>
            </w:r>
          </w:p>
        </w:tc>
        <w:tc>
          <w:tcPr>
            <w:tcW w:w="220" w:type="dxa"/>
            <w:vAlign w:val="bottom"/>
            <w:shd w:val="clear" w:color="auto" w:fill="CFF0FC"/>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3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Yahui Wang</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373"/>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3"/>
        </w:trPr>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195"/>
        </w:trPr>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 of Kunlun Group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address of each of the following directors and executive officers is RM 3508, 35/F., Central Plaza, 18 Harbour Road, Wanchai, Hong Kong.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53"/>
        </w:trPr>
        <w:tc>
          <w:tcPr>
            <w:tcW w:w="78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Tian Jin</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Sing Wang</w:t>
            </w: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HK</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Guang Yang</w:t>
            </w:r>
          </w:p>
        </w:tc>
        <w:tc>
          <w:tcPr>
            <w:tcW w:w="220" w:type="dxa"/>
            <w:vAlign w:val="bottom"/>
            <w:shd w:val="clear" w:color="auto" w:fill="CFF0FC"/>
          </w:tcPr>
          <w:p>
            <w:pPr>
              <w:spacing w:after="0"/>
              <w:rPr>
                <w:sz w:val="18"/>
                <w:szCs w:val="18"/>
                <w:color w:val="auto"/>
              </w:rPr>
            </w:pPr>
          </w:p>
        </w:tc>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3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Yahui Wang</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589"/>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3"/>
        </w:trPr>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195"/>
        </w:trPr>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 of Kunlun Tech Co., Ltd.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business address of each of the following directors is 46 Xizongbu hutong, Mingyang International Center, Block B, Dongcheng District, Beijing 100005, People’s Republic of China.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53"/>
        </w:trPr>
        <w:tc>
          <w:tcPr>
            <w:tcW w:w="780" w:type="dxa"/>
            <w:vAlign w:val="bottom"/>
            <w:tcBorders>
              <w:top w:val="single" w:sz="8" w:color="auto"/>
              <w:bottom w:val="single" w:sz="8" w:color="auto"/>
            </w:tcBorders>
          </w:tcPr>
          <w:p>
            <w:pPr>
              <w:spacing w:after="0"/>
              <w:rPr>
                <w:sz w:val="24"/>
                <w:szCs w:val="24"/>
                <w:color w:val="auto"/>
              </w:rPr>
            </w:pPr>
          </w:p>
        </w:tc>
        <w:tc>
          <w:tcPr>
            <w:tcW w:w="47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Han Fang</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Jie Lv</w:t>
            </w: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Xiaoyu Liu</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Guoqiang Huang</w:t>
            </w: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Chenyu Zhang</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Shimu Qian</w:t>
            </w: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Donghong Li</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PRC</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668"/>
        </w:trPr>
        <w:tc>
          <w:tcPr>
            <w:tcW w:w="1480" w:type="dxa"/>
            <w:vAlign w:val="bottom"/>
            <w:tcBorders>
              <w:top w:val="single" w:sz="8" w:color="auto"/>
              <w:bottom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4"/>
                <w:szCs w:val="24"/>
                <w:color w:val="auto"/>
              </w:rPr>
            </w:pPr>
          </w:p>
        </w:tc>
        <w:tc>
          <w:tcPr>
            <w:tcW w:w="36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spacing w:after="0"/>
              <w:rPr>
                <w:sz w:val="24"/>
                <w:szCs w:val="24"/>
                <w:color w:val="auto"/>
              </w:rPr>
            </w:pPr>
          </w:p>
        </w:tc>
        <w:tc>
          <w:tcPr>
            <w:tcW w:w="36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Han Fang</w:t>
            </w:r>
          </w:p>
        </w:tc>
        <w:tc>
          <w:tcPr>
            <w:tcW w:w="2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manager</w:t>
            </w:r>
          </w:p>
        </w:tc>
        <w:tc>
          <w:tcPr>
            <w:tcW w:w="20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198"/>
        </w:trPr>
        <w:tc>
          <w:tcPr>
            <w:tcW w:w="36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Jie Lv</w:t>
            </w:r>
          </w:p>
        </w:tc>
        <w:tc>
          <w:tcPr>
            <w:tcW w:w="220" w:type="dxa"/>
            <w:vAlign w:val="bottom"/>
            <w:shd w:val="clear" w:color="auto" w:fill="CCEEFF"/>
          </w:tcPr>
          <w:p>
            <w:pPr>
              <w:spacing w:after="0"/>
              <w:rPr>
                <w:sz w:val="17"/>
                <w:szCs w:val="17"/>
                <w:color w:val="auto"/>
              </w:rPr>
            </w:pPr>
          </w:p>
        </w:tc>
        <w:tc>
          <w:tcPr>
            <w:tcW w:w="3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Vice general manager, Secretary of the board of</w:t>
            </w: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PRC</w:t>
            </w:r>
          </w:p>
        </w:tc>
      </w:tr>
      <w:tr>
        <w:trPr>
          <w:trHeight w:val="234"/>
        </w:trPr>
        <w:tc>
          <w:tcPr>
            <w:tcW w:w="14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3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 Zhang</w:t>
            </w:r>
          </w:p>
        </w:tc>
        <w:tc>
          <w:tcPr>
            <w:tcW w:w="22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PRC</w:t>
            </w:r>
          </w:p>
        </w:tc>
      </w:tr>
      <w:tr>
        <w:trPr>
          <w:trHeight w:val="961"/>
        </w:trPr>
        <w:tc>
          <w:tcPr>
            <w:tcW w:w="14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$0.0002 per share, of Opera Limited, a Cayman Islands company, and that this Agreement may be included as an Exhibit to such joint filing. This Agreement may be executed in any number of counterparts, all of which taken together shall constitute one and the same instrument.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December 6, 2024.</w:t>
      </w:r>
    </w:p>
    <w:p>
      <w:pPr>
        <w:spacing w:after="0" w:line="200" w:lineRule="exact"/>
        <w:rPr>
          <w:sz w:val="20"/>
          <w:szCs w:val="20"/>
          <w:color w:val="auto"/>
        </w:rPr>
      </w:pPr>
    </w:p>
    <w:p>
      <w:pPr>
        <w:spacing w:after="0" w:line="23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Hong Kong Kunlun Tech Holding Limited</w:t>
      </w:r>
    </w:p>
    <w:p>
      <w:pPr>
        <w:spacing w:after="0" w:line="229"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 Jin</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Tian Jin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Kunlun Group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 Jin</w:t>
            </w:r>
          </w:p>
        </w:tc>
      </w:tr>
      <w:tr>
        <w:trPr>
          <w:trHeight w:val="191"/>
        </w:trPr>
        <w:tc>
          <w:tcPr>
            <w:tcW w:w="6440" w:type="dxa"/>
            <w:vAlign w:val="bottom"/>
          </w:tcPr>
          <w:p>
            <w:pPr>
              <w:ind w:left="5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Tian Jin</w:t>
            </w:r>
          </w:p>
        </w:tc>
      </w:tr>
      <w:tr>
        <w:trPr>
          <w:trHeight w:val="234"/>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1240" w:type="dxa"/>
            <w:vAlign w:val="bottom"/>
            <w:gridSpan w:val="2"/>
          </w:tcPr>
          <w:p>
            <w:pPr>
              <w:ind w:left="5760"/>
              <w:spacing w:after="0"/>
              <w:rPr>
                <w:sz w:val="20"/>
                <w:szCs w:val="20"/>
                <w:color w:val="auto"/>
              </w:rPr>
            </w:pPr>
            <w:r>
              <w:rPr>
                <w:rFonts w:ascii="Times New Roman" w:cs="Times New Roman" w:eastAsia="Times New Roman" w:hAnsi="Times New Roman"/>
                <w:sz w:val="18"/>
                <w:szCs w:val="18"/>
                <w:b w:val="1"/>
                <w:bCs w:val="1"/>
                <w:color w:val="auto"/>
              </w:rPr>
              <w:t>Kunlun Tech Co., Ltd.</w:t>
            </w:r>
          </w:p>
        </w:tc>
      </w:tr>
      <w:tr>
        <w:trPr>
          <w:trHeight w:val="432"/>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 Fang</w:t>
            </w:r>
          </w:p>
        </w:tc>
      </w:tr>
      <w:tr>
        <w:trPr>
          <w:trHeight w:val="191"/>
        </w:trPr>
        <w:tc>
          <w:tcPr>
            <w:tcW w:w="6440" w:type="dxa"/>
            <w:vAlign w:val="bottom"/>
          </w:tcPr>
          <w:p>
            <w:pPr>
              <w:ind w:left="5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 Fang</w:t>
            </w:r>
          </w:p>
        </w:tc>
      </w:tr>
      <w:tr>
        <w:trPr>
          <w:trHeight w:val="234"/>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1240" w:type="dxa"/>
            <w:vAlign w:val="bottom"/>
            <w:gridSpan w:val="2"/>
          </w:tcPr>
          <w:p>
            <w:pPr>
              <w:ind w:left="5760"/>
              <w:spacing w:after="0"/>
              <w:rPr>
                <w:sz w:val="20"/>
                <w:szCs w:val="20"/>
                <w:color w:val="auto"/>
              </w:rPr>
            </w:pPr>
            <w:r>
              <w:rPr>
                <w:rFonts w:ascii="Times New Roman" w:cs="Times New Roman" w:eastAsia="Times New Roman" w:hAnsi="Times New Roman"/>
                <w:sz w:val="18"/>
                <w:szCs w:val="18"/>
                <w:b w:val="1"/>
                <w:bCs w:val="1"/>
                <w:color w:val="auto"/>
              </w:rPr>
              <w:t>Yahui Zhou</w:t>
            </w:r>
          </w:p>
        </w:tc>
      </w:tr>
      <w:tr>
        <w:trPr>
          <w:trHeight w:val="432"/>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Yahui Zhou</w:t>
            </w:r>
          </w:p>
        </w:tc>
      </w:tr>
      <w:tr>
        <w:trPr>
          <w:trHeight w:val="228"/>
        </w:trPr>
        <w:tc>
          <w:tcPr>
            <w:tcW w:w="6440" w:type="dxa"/>
            <w:vAlign w:val="bottom"/>
          </w:tcPr>
          <w:p>
            <w:pPr>
              <w:ind w:left="576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Yahui Zhou</w:t>
            </w:r>
          </w:p>
        </w:tc>
      </w:tr>
      <w:tr>
        <w:trPr>
          <w:trHeight w:val="961"/>
        </w:trPr>
        <w:tc>
          <w:tcPr>
            <w:tcW w:w="6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7545E146"/>
    <w:multiLevelType w:val="hybridMultilevel"/>
    <w:lvl w:ilvl="0">
      <w:lvlJc w:val="left"/>
      <w:lvlText w:val="*"/>
      <w:numFmt w:val="bullet"/>
      <w:start w:val="1"/>
    </w:lvl>
    <w:lvl w:ilvl="1">
      <w:lvlJc w:val="left"/>
      <w:lvlText w:val="(%2)"/>
      <w:numFmt w:val="decimal"/>
      <w:start w:val="11"/>
    </w:lvl>
  </w:abstractNum>
  <w:abstractNum w:abstractNumId="3">
    <w:nsid w:val="515F00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
    <w:nsid w:val="5BD062C2"/>
    <w:multiLevelType w:val="hybridMultilevel"/>
    <w:lvl w:ilvl="0">
      <w:lvlJc w:val="left"/>
      <w:lvlText w:val="*"/>
      <w:numFmt w:val="bullet"/>
      <w:start w:val="1"/>
    </w:lvl>
    <w:lvl w:ilvl="1">
      <w:lvlJc w:val="left"/>
      <w:lvlText w:val="(%2)"/>
      <w:numFmt w:val="decimal"/>
      <w:start w:val="11"/>
    </w:lvl>
  </w:abstractNum>
  <w:abstractNum w:abstractNumId="5">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6">
    <w:nsid w:val="4DB127F8"/>
    <w:multiLevelType w:val="hybridMultilevel"/>
    <w:lvl w:ilvl="0">
      <w:lvlJc w:val="left"/>
      <w:lvlText w:val="*"/>
      <w:numFmt w:val="bullet"/>
      <w:start w:val="1"/>
    </w:lvl>
    <w:lvl w:ilvl="1">
      <w:lvlJc w:val="left"/>
      <w:lvlText w:val="(%2)"/>
      <w:numFmt w:val="decimal"/>
      <w:start w:val="11"/>
    </w:lvl>
  </w:abstractNum>
  <w:abstractNum w:abstractNumId="7">
    <w:nsid w:val="21623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1F16E9E8"/>
    <w:multiLevelType w:val="hybridMultilevel"/>
    <w:lvl w:ilvl="0">
      <w:lvlJc w:val="left"/>
      <w:lvlText w:val="*"/>
      <w:numFmt w:val="bullet"/>
      <w:start w:val="1"/>
    </w:lvl>
    <w:lvl w:ilvl="1">
      <w:lvlJc w:val="left"/>
      <w:lvlText w:val="(%2)"/>
      <w:numFmt w:val="decimal"/>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lvl w:ilvl="1">
      <w:lvlJc w:val="left"/>
      <w:lvlText w:val="%2)"/>
      <w:numFmt w:val="decimal"/>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2024-12-06T05:26:21Z</dcterms:created>
  <dcterms:modified xsi:type="dcterms:W3CDTF">2024-12-06T05:26:21Z</dcterms:modified>
</cp:coreProperties>
</file>