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spacing w:after="0" w:line="241"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596900</wp:posOffset>
            </wp:positionH>
            <wp:positionV relativeFrom="paragraph">
              <wp:posOffset>-130810</wp:posOffset>
            </wp:positionV>
            <wp:extent cx="60629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6298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596900</wp:posOffset>
            </wp:positionH>
            <wp:positionV relativeFrom="paragraph">
              <wp:posOffset>-130810</wp:posOffset>
            </wp:positionV>
            <wp:extent cx="6062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62980" cy="8890"/>
                    </a:xfrm>
                    <a:prstGeom prst="rect">
                      <a:avLst/>
                    </a:prstGeom>
                    <a:noFill/>
                  </pic:spPr>
                </pic:pic>
              </a:graphicData>
            </a:graphic>
          </wp:anchor>
        </w:drawing>
      </w:r>
    </w:p>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68373M107</w:t>
      </w:r>
      <w:r>
        <w:rPr>
          <w:rFonts w:ascii="Arial" w:cs="Arial" w:eastAsia="Arial" w:hAnsi="Arial"/>
          <w:sz w:val="30"/>
          <w:szCs w:val="30"/>
          <w:b w:val="1"/>
          <w:bCs w:val="1"/>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596900</wp:posOffset>
            </wp:positionH>
            <wp:positionV relativeFrom="paragraph">
              <wp:posOffset>-8890</wp:posOffset>
            </wp:positionV>
            <wp:extent cx="6062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6298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(CUSIP Number)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596900</wp:posOffset>
            </wp:positionH>
            <wp:positionV relativeFrom="paragraph">
              <wp:posOffset>-130810</wp:posOffset>
            </wp:positionV>
            <wp:extent cx="6062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6298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180" w:firstLine="8"/>
        <w:spacing w:after="0" w:line="277" w:lineRule="auto"/>
        <w:tabs>
          <w:tab w:leader="none" w:pos="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220" w:hanging="212"/>
        <w:spacing w:after="0"/>
        <w:tabs>
          <w:tab w:leader="none" w:pos="22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This CUSIP number applies to the Issuer’s American Depositary Shares, each representing two ordinary shares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68373M107</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580" w:type="dxa"/>
            <w:vAlign w:val="bottom"/>
            <w:tcBorders>
              <w:top w:val="single" w:sz="8" w:color="auto"/>
              <w:lef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(1)</w:t>
            </w:r>
          </w:p>
        </w:tc>
        <w:tc>
          <w:tcPr>
            <w:tcW w:w="240" w:type="dxa"/>
            <w:vAlign w:val="bottom"/>
            <w:tcBorders>
              <w:top w:val="single" w:sz="8" w:color="auto"/>
              <w:right w:val="single" w:sz="8" w:color="auto"/>
            </w:tcBorders>
          </w:tcPr>
          <w:p>
            <w:pPr>
              <w:spacing w:after="0"/>
              <w:rPr>
                <w:sz w:val="22"/>
                <w:szCs w:val="22"/>
                <w:color w:val="auto"/>
              </w:rPr>
            </w:pPr>
          </w:p>
        </w:tc>
        <w:tc>
          <w:tcPr>
            <w:tcW w:w="89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NAME OF REPORTING PERSONS</w:t>
            </w:r>
          </w:p>
        </w:tc>
        <w:tc>
          <w:tcPr>
            <w:tcW w:w="16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7"/>
              </w:rPr>
              <w:t>Kunlun Tech Limited</w:t>
            </w:r>
          </w:p>
        </w:tc>
        <w:tc>
          <w:tcPr>
            <w:tcW w:w="7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(2)</w:t>
            </w:r>
          </w:p>
        </w:tc>
        <w:tc>
          <w:tcPr>
            <w:tcW w:w="240" w:type="dxa"/>
            <w:vAlign w:val="bottom"/>
            <w:tcBorders>
              <w:right w:val="single" w:sz="8" w:color="auto"/>
            </w:tcBorders>
          </w:tcPr>
          <w:p>
            <w:pPr>
              <w:spacing w:after="0"/>
              <w:rPr>
                <w:sz w:val="19"/>
                <w:szCs w:val="19"/>
                <w:color w:val="auto"/>
              </w:rPr>
            </w:pPr>
          </w:p>
        </w:tc>
        <w:tc>
          <w:tcPr>
            <w:tcW w:w="8940" w:type="dxa"/>
            <w:vAlign w:val="bottom"/>
            <w:gridSpan w:val="3"/>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5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520" w:type="dxa"/>
            <w:vAlign w:val="bottom"/>
          </w:tcPr>
          <w:p>
            <w:pPr>
              <w:ind w:left="5920"/>
              <w:spacing w:after="0"/>
              <w:rPr>
                <w:sz w:val="20"/>
                <w:szCs w:val="20"/>
                <w:color w:val="auto"/>
              </w:rPr>
            </w:pPr>
            <w:r>
              <w:rPr>
                <w:rFonts w:ascii="Arial" w:cs="Arial" w:eastAsia="Arial" w:hAnsi="Arial"/>
                <w:sz w:val="18"/>
                <w:szCs w:val="18"/>
                <w:color w:val="auto"/>
              </w:rPr>
              <w:t>(a)</w:t>
            </w:r>
          </w:p>
        </w:tc>
        <w:tc>
          <w:tcPr>
            <w:tcW w:w="1660" w:type="dxa"/>
            <w:vAlign w:val="bottom"/>
            <w:tcBorders>
              <w:right w:val="single" w:sz="8" w:color="auto"/>
            </w:tcBorders>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2"/>
        </w:trPr>
        <w:tc>
          <w:tcPr>
            <w:tcW w:w="5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520" w:type="dxa"/>
            <w:vAlign w:val="bottom"/>
          </w:tcPr>
          <w:p>
            <w:pPr>
              <w:ind w:left="5920"/>
              <w:spacing w:after="0"/>
              <w:rPr>
                <w:sz w:val="20"/>
                <w:szCs w:val="20"/>
                <w:color w:val="auto"/>
              </w:rPr>
            </w:pPr>
            <w:r>
              <w:rPr>
                <w:rFonts w:ascii="Arial" w:cs="Arial" w:eastAsia="Arial" w:hAnsi="Arial"/>
                <w:sz w:val="18"/>
                <w:szCs w:val="18"/>
                <w:color w:val="auto"/>
              </w:rPr>
              <w:t>(b)</w:t>
            </w:r>
          </w:p>
        </w:tc>
        <w:tc>
          <w:tcPr>
            <w:tcW w:w="1660" w:type="dxa"/>
            <w:vAlign w:val="bottom"/>
            <w:tcBorders>
              <w:right w:val="single" w:sz="8" w:color="auto"/>
            </w:tcBorders>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580" w:type="dxa"/>
            <w:vAlign w:val="bottom"/>
            <w:tcBorders>
              <w:left w:val="single" w:sz="8" w:color="auto"/>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520" w:type="dxa"/>
            <w:vAlign w:val="bottom"/>
            <w:tcBorders>
              <w:bottom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(3)</w:t>
            </w:r>
          </w:p>
        </w:tc>
        <w:tc>
          <w:tcPr>
            <w:tcW w:w="2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SEC USE ONLY</w:t>
            </w:r>
          </w:p>
        </w:tc>
        <w:tc>
          <w:tcPr>
            <w:tcW w:w="760" w:type="dxa"/>
            <w:vAlign w:val="bottom"/>
            <w:tcBorders>
              <w:bottom w:val="single" w:sz="8" w:color="auto"/>
            </w:tcBorders>
          </w:tcPr>
          <w:p>
            <w:pPr>
              <w:spacing w:after="0"/>
              <w:rPr>
                <w:sz w:val="18"/>
                <w:szCs w:val="18"/>
                <w:color w:val="auto"/>
              </w:rPr>
            </w:pPr>
          </w:p>
        </w:tc>
        <w:tc>
          <w:tcPr>
            <w:tcW w:w="652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(4)</w:t>
            </w:r>
          </w:p>
        </w:tc>
        <w:tc>
          <w:tcPr>
            <w:tcW w:w="240" w:type="dxa"/>
            <w:vAlign w:val="bottom"/>
            <w:tcBorders>
              <w:right w:val="single" w:sz="8" w:color="auto"/>
            </w:tcBorders>
          </w:tcPr>
          <w:p>
            <w:pPr>
              <w:spacing w:after="0"/>
              <w:rPr>
                <w:sz w:val="19"/>
                <w:szCs w:val="19"/>
                <w:color w:val="auto"/>
              </w:rPr>
            </w:pPr>
          </w:p>
        </w:tc>
        <w:tc>
          <w:tcPr>
            <w:tcW w:w="8940" w:type="dxa"/>
            <w:vAlign w:val="bottom"/>
            <w:gridSpan w:val="3"/>
          </w:tcPr>
          <w:p>
            <w:pPr>
              <w:ind w:left="20"/>
              <w:spacing w:after="0"/>
              <w:rPr>
                <w:sz w:val="20"/>
                <w:szCs w:val="20"/>
                <w:color w:val="auto"/>
              </w:rPr>
            </w:pPr>
            <w:r>
              <w:rPr>
                <w:rFonts w:ascii="Arial" w:cs="Arial" w:eastAsia="Arial" w:hAnsi="Arial"/>
                <w:sz w:val="18"/>
                <w:szCs w:val="18"/>
                <w:color w:val="auto"/>
              </w:rPr>
              <w:t>CITIZENSHIP OR PLACE OF ORGANIZATION</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Hong Kong</w:t>
            </w:r>
          </w:p>
        </w:tc>
        <w:tc>
          <w:tcPr>
            <w:tcW w:w="7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(5)</w:t>
            </w:r>
          </w:p>
        </w:tc>
        <w:tc>
          <w:tcPr>
            <w:tcW w:w="6520" w:type="dxa"/>
            <w:vAlign w:val="bottom"/>
          </w:tcPr>
          <w:p>
            <w:pPr>
              <w:spacing w:after="0"/>
              <w:rPr>
                <w:sz w:val="20"/>
                <w:szCs w:val="20"/>
                <w:color w:val="auto"/>
              </w:rPr>
            </w:pPr>
            <w:r>
              <w:rPr>
                <w:rFonts w:ascii="Arial" w:cs="Arial" w:eastAsia="Arial" w:hAnsi="Arial"/>
                <w:sz w:val="18"/>
                <w:szCs w:val="18"/>
                <w:color w:val="auto"/>
              </w:rPr>
              <w:t>SOLE VOTING POWER</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Borders>
              <w:left w:val="single" w:sz="8" w:color="auto"/>
            </w:tcBorders>
          </w:tcPr>
          <w:p>
            <w:pPr>
              <w:spacing w:after="0"/>
              <w:rPr>
                <w:sz w:val="24"/>
                <w:szCs w:val="24"/>
                <w:color w:val="auto"/>
              </w:rPr>
            </w:pPr>
          </w:p>
        </w:tc>
        <w:tc>
          <w:tcPr>
            <w:tcW w:w="190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6"/>
              </w:rPr>
              <w:t>NUMBER OF</w:t>
            </w:r>
          </w:p>
        </w:tc>
        <w:tc>
          <w:tcPr>
            <w:tcW w:w="760" w:type="dxa"/>
            <w:vAlign w:val="bottom"/>
            <w:tcBorders>
              <w:bottom w:val="single" w:sz="8" w:color="auto"/>
              <w:right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96,000,000</w:t>
            </w: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80" w:type="dxa"/>
            <w:vAlign w:val="bottom"/>
            <w:tcBorders>
              <w:left w:val="single" w:sz="8" w:color="auto"/>
            </w:tcBorders>
          </w:tcPr>
          <w:p>
            <w:pPr>
              <w:spacing w:after="0"/>
              <w:rPr>
                <w:sz w:val="16"/>
                <w:szCs w:val="16"/>
                <w:color w:val="auto"/>
              </w:rPr>
            </w:pPr>
          </w:p>
        </w:tc>
        <w:tc>
          <w:tcPr>
            <w:tcW w:w="1900" w:type="dxa"/>
            <w:vAlign w:val="bottom"/>
            <w:tcBorders>
              <w:right w:val="single" w:sz="8" w:color="auto"/>
            </w:tcBorders>
            <w:gridSpan w:val="2"/>
            <w:vMerge w:val="continue"/>
          </w:tcPr>
          <w:p>
            <w:pPr>
              <w:spacing w:after="0"/>
              <w:rPr>
                <w:sz w:val="16"/>
                <w:szCs w:val="16"/>
                <w:color w:val="auto"/>
              </w:rPr>
            </w:pPr>
          </w:p>
        </w:tc>
        <w:tc>
          <w:tcPr>
            <w:tcW w:w="760" w:type="dxa"/>
            <w:vAlign w:val="bottom"/>
            <w:tcBorders>
              <w:right w:val="single" w:sz="8" w:color="auto"/>
            </w:tcBorders>
          </w:tcPr>
          <w:p>
            <w:pPr>
              <w:jc w:val="right"/>
              <w:ind w:right="190"/>
              <w:spacing w:after="0" w:line="195" w:lineRule="exact"/>
              <w:rPr>
                <w:sz w:val="20"/>
                <w:szCs w:val="20"/>
                <w:color w:val="auto"/>
              </w:rPr>
            </w:pPr>
            <w:r>
              <w:rPr>
                <w:rFonts w:ascii="Arial" w:cs="Arial" w:eastAsia="Arial" w:hAnsi="Arial"/>
                <w:sz w:val="18"/>
                <w:szCs w:val="18"/>
                <w:b w:val="1"/>
                <w:bCs w:val="1"/>
                <w:color w:val="auto"/>
              </w:rPr>
              <w:t>(6)</w:t>
            </w:r>
          </w:p>
        </w:tc>
        <w:tc>
          <w:tcPr>
            <w:tcW w:w="652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1"/>
              </w:rPr>
              <w:t>SHARES</w:t>
            </w:r>
          </w:p>
        </w:tc>
        <w:tc>
          <w:tcPr>
            <w:tcW w:w="760" w:type="dxa"/>
            <w:vAlign w:val="bottom"/>
            <w:tcBorders>
              <w:right w:val="single" w:sz="8" w:color="auto"/>
            </w:tcBorders>
          </w:tcPr>
          <w:p>
            <w:pPr>
              <w:spacing w:after="0"/>
              <w:rPr>
                <w:sz w:val="18"/>
                <w:szCs w:val="18"/>
                <w:color w:val="auto"/>
              </w:rPr>
            </w:pPr>
          </w:p>
        </w:tc>
        <w:tc>
          <w:tcPr>
            <w:tcW w:w="6520" w:type="dxa"/>
            <w:vAlign w:val="bottom"/>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tcPr>
          <w:p>
            <w:pPr>
              <w:spacing w:after="0"/>
              <w:rPr>
                <w:sz w:val="20"/>
                <w:szCs w:val="20"/>
                <w:color w:val="auto"/>
              </w:rPr>
            </w:pPr>
          </w:p>
        </w:tc>
        <w:tc>
          <w:tcPr>
            <w:tcW w:w="190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rPr>
              <w:t>BENEFICIALLY</w:t>
            </w:r>
          </w:p>
        </w:tc>
        <w:tc>
          <w:tcPr>
            <w:tcW w:w="760" w:type="dxa"/>
            <w:vAlign w:val="bottom"/>
            <w:tcBorders>
              <w:bottom w:val="single" w:sz="8" w:color="auto"/>
              <w:right w:val="single" w:sz="8" w:color="auto"/>
            </w:tcBorders>
          </w:tcPr>
          <w:p>
            <w:pPr>
              <w:spacing w:after="0"/>
              <w:rPr>
                <w:sz w:val="20"/>
                <w:szCs w:val="20"/>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4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7"/>
              </w:rPr>
              <w:t>OWNED BY EACH</w:t>
            </w:r>
          </w:p>
        </w:tc>
        <w:tc>
          <w:tcPr>
            <w:tcW w:w="760" w:type="dxa"/>
            <w:vAlign w:val="bottom"/>
            <w:tcBorders>
              <w:right w:val="single" w:sz="8" w:color="auto"/>
            </w:tcBorders>
          </w:tcPr>
          <w:p>
            <w:pPr>
              <w:jc w:val="right"/>
              <w:ind w:right="190"/>
              <w:spacing w:after="0" w:line="195" w:lineRule="exact"/>
              <w:rPr>
                <w:sz w:val="20"/>
                <w:szCs w:val="20"/>
                <w:color w:val="auto"/>
              </w:rPr>
            </w:pPr>
            <w:r>
              <w:rPr>
                <w:rFonts w:ascii="Arial" w:cs="Arial" w:eastAsia="Arial" w:hAnsi="Arial"/>
                <w:sz w:val="18"/>
                <w:szCs w:val="18"/>
                <w:b w:val="1"/>
                <w:bCs w:val="1"/>
                <w:color w:val="auto"/>
              </w:rPr>
              <w:t>(7)</w:t>
            </w:r>
          </w:p>
        </w:tc>
        <w:tc>
          <w:tcPr>
            <w:tcW w:w="652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3"/>
              </w:rPr>
              <w:t>REPORTING</w:t>
            </w:r>
          </w:p>
        </w:tc>
        <w:tc>
          <w:tcPr>
            <w:tcW w:w="760" w:type="dxa"/>
            <w:vAlign w:val="bottom"/>
            <w:tcBorders>
              <w:right w:val="single" w:sz="8" w:color="auto"/>
            </w:tcBorders>
          </w:tcPr>
          <w:p>
            <w:pPr>
              <w:spacing w:after="0"/>
              <w:rPr>
                <w:sz w:val="18"/>
                <w:szCs w:val="18"/>
                <w:color w:val="auto"/>
              </w:rPr>
            </w:pPr>
          </w:p>
        </w:tc>
        <w:tc>
          <w:tcPr>
            <w:tcW w:w="6520" w:type="dxa"/>
            <w:vAlign w:val="bottom"/>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tcPr>
          <w:p>
            <w:pPr>
              <w:spacing w:after="0"/>
              <w:rPr>
                <w:sz w:val="20"/>
                <w:szCs w:val="20"/>
                <w:color w:val="auto"/>
              </w:rPr>
            </w:pPr>
          </w:p>
        </w:tc>
        <w:tc>
          <w:tcPr>
            <w:tcW w:w="190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PERSON WITH</w:t>
            </w:r>
          </w:p>
        </w:tc>
        <w:tc>
          <w:tcPr>
            <w:tcW w:w="760" w:type="dxa"/>
            <w:vAlign w:val="bottom"/>
            <w:tcBorders>
              <w:bottom w:val="single" w:sz="8" w:color="auto"/>
              <w:right w:val="single" w:sz="8" w:color="auto"/>
            </w:tcBorders>
          </w:tcPr>
          <w:p>
            <w:pPr>
              <w:spacing w:after="0"/>
              <w:rPr>
                <w:sz w:val="20"/>
                <w:szCs w:val="20"/>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96,000,000</w:t>
            </w: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8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(8)</w:t>
            </w:r>
          </w:p>
        </w:tc>
        <w:tc>
          <w:tcPr>
            <w:tcW w:w="65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(9)</w:t>
            </w:r>
          </w:p>
        </w:tc>
        <w:tc>
          <w:tcPr>
            <w:tcW w:w="240" w:type="dxa"/>
            <w:vAlign w:val="bottom"/>
            <w:tcBorders>
              <w:right w:val="single" w:sz="8" w:color="auto"/>
            </w:tcBorders>
          </w:tcPr>
          <w:p>
            <w:pPr>
              <w:spacing w:after="0"/>
              <w:rPr>
                <w:sz w:val="19"/>
                <w:szCs w:val="19"/>
                <w:color w:val="auto"/>
              </w:rPr>
            </w:pPr>
          </w:p>
        </w:tc>
        <w:tc>
          <w:tcPr>
            <w:tcW w:w="894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96,000,000</w:t>
            </w:r>
          </w:p>
        </w:tc>
        <w:tc>
          <w:tcPr>
            <w:tcW w:w="7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3"/>
              </w:rPr>
              <w:t>(10)</w:t>
            </w:r>
          </w:p>
        </w:tc>
        <w:tc>
          <w:tcPr>
            <w:tcW w:w="240" w:type="dxa"/>
            <w:vAlign w:val="bottom"/>
            <w:tcBorders>
              <w:right w:val="single" w:sz="8" w:color="auto"/>
            </w:tcBorders>
          </w:tcPr>
          <w:p>
            <w:pPr>
              <w:spacing w:after="0"/>
              <w:rPr>
                <w:sz w:val="19"/>
                <w:szCs w:val="19"/>
                <w:color w:val="auto"/>
              </w:rPr>
            </w:pPr>
          </w:p>
        </w:tc>
        <w:tc>
          <w:tcPr>
            <w:tcW w:w="894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58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3"/>
              </w:rPr>
              <w:t>(11)</w:t>
            </w:r>
          </w:p>
        </w:tc>
        <w:tc>
          <w:tcPr>
            <w:tcW w:w="240" w:type="dxa"/>
            <w:vAlign w:val="bottom"/>
            <w:tcBorders>
              <w:right w:val="single" w:sz="8" w:color="auto"/>
            </w:tcBorders>
          </w:tcPr>
          <w:p>
            <w:pPr>
              <w:spacing w:after="0"/>
              <w:rPr>
                <w:sz w:val="19"/>
                <w:szCs w:val="19"/>
                <w:color w:val="auto"/>
              </w:rPr>
            </w:pPr>
          </w:p>
        </w:tc>
        <w:tc>
          <w:tcPr>
            <w:tcW w:w="894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43.6%*</w:t>
            </w:r>
          </w:p>
        </w:tc>
        <w:tc>
          <w:tcPr>
            <w:tcW w:w="7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3"/>
              </w:rPr>
              <w:t>(12)</w:t>
            </w:r>
          </w:p>
        </w:tc>
        <w:tc>
          <w:tcPr>
            <w:tcW w:w="240" w:type="dxa"/>
            <w:vAlign w:val="bottom"/>
            <w:tcBorders>
              <w:right w:val="single" w:sz="8" w:color="auto"/>
            </w:tcBorders>
          </w:tcPr>
          <w:p>
            <w:pPr>
              <w:spacing w:after="0"/>
              <w:rPr>
                <w:sz w:val="19"/>
                <w:szCs w:val="19"/>
                <w:color w:val="auto"/>
              </w:rPr>
            </w:pPr>
          </w:p>
        </w:tc>
        <w:tc>
          <w:tcPr>
            <w:tcW w:w="894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OO</w:t>
            </w:r>
          </w:p>
        </w:tc>
        <w:tc>
          <w:tcPr>
            <w:tcW w:w="7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 Calculation is based upon 220,119,343 ordinary shares outstanding of Opera Limited (the “Issuer”) as of the date of this filing.</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68373M107</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580" w:type="dxa"/>
            <w:vAlign w:val="bottom"/>
            <w:tcBorders>
              <w:top w:val="single" w:sz="8" w:color="auto"/>
              <w:lef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(1)</w:t>
            </w:r>
          </w:p>
        </w:tc>
        <w:tc>
          <w:tcPr>
            <w:tcW w:w="240" w:type="dxa"/>
            <w:vAlign w:val="bottom"/>
            <w:tcBorders>
              <w:top w:val="single" w:sz="8" w:color="auto"/>
              <w:right w:val="single" w:sz="8" w:color="auto"/>
            </w:tcBorders>
          </w:tcPr>
          <w:p>
            <w:pPr>
              <w:spacing w:after="0"/>
              <w:rPr>
                <w:sz w:val="22"/>
                <w:szCs w:val="22"/>
                <w:color w:val="auto"/>
              </w:rPr>
            </w:pPr>
          </w:p>
        </w:tc>
        <w:tc>
          <w:tcPr>
            <w:tcW w:w="89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NAME OF REPORTING PERSONS</w:t>
            </w:r>
          </w:p>
        </w:tc>
        <w:tc>
          <w:tcPr>
            <w:tcW w:w="16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Beijing Kunlun Tech Co., Ltd.</w:t>
            </w:r>
          </w:p>
        </w:tc>
        <w:tc>
          <w:tcPr>
            <w:tcW w:w="65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(2)</w:t>
            </w:r>
          </w:p>
        </w:tc>
        <w:tc>
          <w:tcPr>
            <w:tcW w:w="240" w:type="dxa"/>
            <w:vAlign w:val="bottom"/>
            <w:tcBorders>
              <w:right w:val="single" w:sz="8" w:color="auto"/>
            </w:tcBorders>
          </w:tcPr>
          <w:p>
            <w:pPr>
              <w:spacing w:after="0"/>
              <w:rPr>
                <w:sz w:val="19"/>
                <w:szCs w:val="19"/>
                <w:color w:val="auto"/>
              </w:rPr>
            </w:pPr>
          </w:p>
        </w:tc>
        <w:tc>
          <w:tcPr>
            <w:tcW w:w="8940" w:type="dxa"/>
            <w:vAlign w:val="bottom"/>
            <w:gridSpan w:val="3"/>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5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520" w:type="dxa"/>
            <w:vAlign w:val="bottom"/>
          </w:tcPr>
          <w:p>
            <w:pPr>
              <w:ind w:left="5920"/>
              <w:spacing w:after="0"/>
              <w:rPr>
                <w:sz w:val="20"/>
                <w:szCs w:val="20"/>
                <w:color w:val="auto"/>
              </w:rPr>
            </w:pPr>
            <w:r>
              <w:rPr>
                <w:rFonts w:ascii="Arial" w:cs="Arial" w:eastAsia="Arial" w:hAnsi="Arial"/>
                <w:sz w:val="18"/>
                <w:szCs w:val="18"/>
                <w:color w:val="auto"/>
              </w:rPr>
              <w:t>(a)</w:t>
            </w:r>
          </w:p>
        </w:tc>
        <w:tc>
          <w:tcPr>
            <w:tcW w:w="1660" w:type="dxa"/>
            <w:vAlign w:val="bottom"/>
            <w:tcBorders>
              <w:right w:val="single" w:sz="8" w:color="auto"/>
            </w:tcBorders>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2"/>
        </w:trPr>
        <w:tc>
          <w:tcPr>
            <w:tcW w:w="5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520" w:type="dxa"/>
            <w:vAlign w:val="bottom"/>
          </w:tcPr>
          <w:p>
            <w:pPr>
              <w:ind w:left="5920"/>
              <w:spacing w:after="0"/>
              <w:rPr>
                <w:sz w:val="20"/>
                <w:szCs w:val="20"/>
                <w:color w:val="auto"/>
              </w:rPr>
            </w:pPr>
            <w:r>
              <w:rPr>
                <w:rFonts w:ascii="Arial" w:cs="Arial" w:eastAsia="Arial" w:hAnsi="Arial"/>
                <w:sz w:val="18"/>
                <w:szCs w:val="18"/>
                <w:color w:val="auto"/>
              </w:rPr>
              <w:t>(b)</w:t>
            </w:r>
          </w:p>
        </w:tc>
        <w:tc>
          <w:tcPr>
            <w:tcW w:w="1660" w:type="dxa"/>
            <w:vAlign w:val="bottom"/>
            <w:tcBorders>
              <w:right w:val="single" w:sz="8" w:color="auto"/>
            </w:tcBorders>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580" w:type="dxa"/>
            <w:vAlign w:val="bottom"/>
            <w:tcBorders>
              <w:left w:val="single" w:sz="8" w:color="auto"/>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520" w:type="dxa"/>
            <w:vAlign w:val="bottom"/>
            <w:tcBorders>
              <w:bottom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(3)</w:t>
            </w:r>
          </w:p>
        </w:tc>
        <w:tc>
          <w:tcPr>
            <w:tcW w:w="2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SEC USE ONLY</w:t>
            </w:r>
          </w:p>
        </w:tc>
        <w:tc>
          <w:tcPr>
            <w:tcW w:w="760" w:type="dxa"/>
            <w:vAlign w:val="bottom"/>
            <w:tcBorders>
              <w:bottom w:val="single" w:sz="8" w:color="auto"/>
            </w:tcBorders>
          </w:tcPr>
          <w:p>
            <w:pPr>
              <w:spacing w:after="0"/>
              <w:rPr>
                <w:sz w:val="18"/>
                <w:szCs w:val="18"/>
                <w:color w:val="auto"/>
              </w:rPr>
            </w:pPr>
          </w:p>
        </w:tc>
        <w:tc>
          <w:tcPr>
            <w:tcW w:w="652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(4)</w:t>
            </w:r>
          </w:p>
        </w:tc>
        <w:tc>
          <w:tcPr>
            <w:tcW w:w="240" w:type="dxa"/>
            <w:vAlign w:val="bottom"/>
            <w:tcBorders>
              <w:right w:val="single" w:sz="8" w:color="auto"/>
            </w:tcBorders>
          </w:tcPr>
          <w:p>
            <w:pPr>
              <w:spacing w:after="0"/>
              <w:rPr>
                <w:sz w:val="19"/>
                <w:szCs w:val="19"/>
                <w:color w:val="auto"/>
              </w:rPr>
            </w:pPr>
          </w:p>
        </w:tc>
        <w:tc>
          <w:tcPr>
            <w:tcW w:w="8940" w:type="dxa"/>
            <w:vAlign w:val="bottom"/>
            <w:gridSpan w:val="3"/>
          </w:tcPr>
          <w:p>
            <w:pPr>
              <w:ind w:left="20"/>
              <w:spacing w:after="0"/>
              <w:rPr>
                <w:sz w:val="20"/>
                <w:szCs w:val="20"/>
                <w:color w:val="auto"/>
              </w:rPr>
            </w:pPr>
            <w:r>
              <w:rPr>
                <w:rFonts w:ascii="Arial" w:cs="Arial" w:eastAsia="Arial" w:hAnsi="Arial"/>
                <w:sz w:val="18"/>
                <w:szCs w:val="18"/>
                <w:color w:val="auto"/>
              </w:rPr>
              <w:t>CITIZENSHIP OR PLACE OF ORGANIZATION</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People’s Republic of China</w:t>
            </w:r>
          </w:p>
        </w:tc>
        <w:tc>
          <w:tcPr>
            <w:tcW w:w="65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(5)</w:t>
            </w:r>
          </w:p>
        </w:tc>
        <w:tc>
          <w:tcPr>
            <w:tcW w:w="6520" w:type="dxa"/>
            <w:vAlign w:val="bottom"/>
          </w:tcPr>
          <w:p>
            <w:pPr>
              <w:spacing w:after="0"/>
              <w:rPr>
                <w:sz w:val="20"/>
                <w:szCs w:val="20"/>
                <w:color w:val="auto"/>
              </w:rPr>
            </w:pPr>
            <w:r>
              <w:rPr>
                <w:rFonts w:ascii="Arial" w:cs="Arial" w:eastAsia="Arial" w:hAnsi="Arial"/>
                <w:sz w:val="18"/>
                <w:szCs w:val="18"/>
                <w:color w:val="auto"/>
              </w:rPr>
              <w:t>SOLE VOTING POWER</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Borders>
              <w:left w:val="single" w:sz="8" w:color="auto"/>
            </w:tcBorders>
          </w:tcPr>
          <w:p>
            <w:pPr>
              <w:spacing w:after="0"/>
              <w:rPr>
                <w:sz w:val="24"/>
                <w:szCs w:val="24"/>
                <w:color w:val="auto"/>
              </w:rPr>
            </w:pPr>
          </w:p>
        </w:tc>
        <w:tc>
          <w:tcPr>
            <w:tcW w:w="190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6"/>
              </w:rPr>
              <w:t>NUMBER OF</w:t>
            </w:r>
          </w:p>
        </w:tc>
        <w:tc>
          <w:tcPr>
            <w:tcW w:w="760" w:type="dxa"/>
            <w:vAlign w:val="bottom"/>
            <w:tcBorders>
              <w:bottom w:val="single" w:sz="8" w:color="auto"/>
              <w:right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96,000,000</w:t>
            </w: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80" w:type="dxa"/>
            <w:vAlign w:val="bottom"/>
            <w:tcBorders>
              <w:left w:val="single" w:sz="8" w:color="auto"/>
            </w:tcBorders>
          </w:tcPr>
          <w:p>
            <w:pPr>
              <w:spacing w:after="0"/>
              <w:rPr>
                <w:sz w:val="16"/>
                <w:szCs w:val="16"/>
                <w:color w:val="auto"/>
              </w:rPr>
            </w:pPr>
          </w:p>
        </w:tc>
        <w:tc>
          <w:tcPr>
            <w:tcW w:w="1900" w:type="dxa"/>
            <w:vAlign w:val="bottom"/>
            <w:tcBorders>
              <w:right w:val="single" w:sz="8" w:color="auto"/>
            </w:tcBorders>
            <w:gridSpan w:val="2"/>
            <w:vMerge w:val="continue"/>
          </w:tcPr>
          <w:p>
            <w:pPr>
              <w:spacing w:after="0"/>
              <w:rPr>
                <w:sz w:val="16"/>
                <w:szCs w:val="16"/>
                <w:color w:val="auto"/>
              </w:rPr>
            </w:pPr>
          </w:p>
        </w:tc>
        <w:tc>
          <w:tcPr>
            <w:tcW w:w="760" w:type="dxa"/>
            <w:vAlign w:val="bottom"/>
            <w:tcBorders>
              <w:right w:val="single" w:sz="8" w:color="auto"/>
            </w:tcBorders>
          </w:tcPr>
          <w:p>
            <w:pPr>
              <w:jc w:val="right"/>
              <w:ind w:right="190"/>
              <w:spacing w:after="0" w:line="195" w:lineRule="exact"/>
              <w:rPr>
                <w:sz w:val="20"/>
                <w:szCs w:val="20"/>
                <w:color w:val="auto"/>
              </w:rPr>
            </w:pPr>
            <w:r>
              <w:rPr>
                <w:rFonts w:ascii="Arial" w:cs="Arial" w:eastAsia="Arial" w:hAnsi="Arial"/>
                <w:sz w:val="18"/>
                <w:szCs w:val="18"/>
                <w:b w:val="1"/>
                <w:bCs w:val="1"/>
                <w:color w:val="auto"/>
              </w:rPr>
              <w:t>(6)</w:t>
            </w:r>
          </w:p>
        </w:tc>
        <w:tc>
          <w:tcPr>
            <w:tcW w:w="652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1"/>
              </w:rPr>
              <w:t>SHARES</w:t>
            </w:r>
          </w:p>
        </w:tc>
        <w:tc>
          <w:tcPr>
            <w:tcW w:w="760" w:type="dxa"/>
            <w:vAlign w:val="bottom"/>
            <w:tcBorders>
              <w:right w:val="single" w:sz="8" w:color="auto"/>
            </w:tcBorders>
          </w:tcPr>
          <w:p>
            <w:pPr>
              <w:spacing w:after="0"/>
              <w:rPr>
                <w:sz w:val="18"/>
                <w:szCs w:val="18"/>
                <w:color w:val="auto"/>
              </w:rPr>
            </w:pPr>
          </w:p>
        </w:tc>
        <w:tc>
          <w:tcPr>
            <w:tcW w:w="6520" w:type="dxa"/>
            <w:vAlign w:val="bottom"/>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tcPr>
          <w:p>
            <w:pPr>
              <w:spacing w:after="0"/>
              <w:rPr>
                <w:sz w:val="20"/>
                <w:szCs w:val="20"/>
                <w:color w:val="auto"/>
              </w:rPr>
            </w:pPr>
          </w:p>
        </w:tc>
        <w:tc>
          <w:tcPr>
            <w:tcW w:w="190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rPr>
              <w:t>BENEFICIALLY</w:t>
            </w:r>
          </w:p>
        </w:tc>
        <w:tc>
          <w:tcPr>
            <w:tcW w:w="760" w:type="dxa"/>
            <w:vAlign w:val="bottom"/>
            <w:tcBorders>
              <w:bottom w:val="single" w:sz="8" w:color="auto"/>
              <w:right w:val="single" w:sz="8" w:color="auto"/>
            </w:tcBorders>
          </w:tcPr>
          <w:p>
            <w:pPr>
              <w:spacing w:after="0"/>
              <w:rPr>
                <w:sz w:val="20"/>
                <w:szCs w:val="20"/>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4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7"/>
              </w:rPr>
              <w:t>OWNED BY EACH</w:t>
            </w:r>
          </w:p>
        </w:tc>
        <w:tc>
          <w:tcPr>
            <w:tcW w:w="760" w:type="dxa"/>
            <w:vAlign w:val="bottom"/>
            <w:tcBorders>
              <w:right w:val="single" w:sz="8" w:color="auto"/>
            </w:tcBorders>
          </w:tcPr>
          <w:p>
            <w:pPr>
              <w:jc w:val="right"/>
              <w:ind w:right="190"/>
              <w:spacing w:after="0" w:line="195" w:lineRule="exact"/>
              <w:rPr>
                <w:sz w:val="20"/>
                <w:szCs w:val="20"/>
                <w:color w:val="auto"/>
              </w:rPr>
            </w:pPr>
            <w:r>
              <w:rPr>
                <w:rFonts w:ascii="Arial" w:cs="Arial" w:eastAsia="Arial" w:hAnsi="Arial"/>
                <w:sz w:val="18"/>
                <w:szCs w:val="18"/>
                <w:b w:val="1"/>
                <w:bCs w:val="1"/>
                <w:color w:val="auto"/>
              </w:rPr>
              <w:t>(7)</w:t>
            </w:r>
          </w:p>
        </w:tc>
        <w:tc>
          <w:tcPr>
            <w:tcW w:w="652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3"/>
              </w:rPr>
              <w:t>REPORTING</w:t>
            </w:r>
          </w:p>
        </w:tc>
        <w:tc>
          <w:tcPr>
            <w:tcW w:w="760" w:type="dxa"/>
            <w:vAlign w:val="bottom"/>
            <w:tcBorders>
              <w:right w:val="single" w:sz="8" w:color="auto"/>
            </w:tcBorders>
          </w:tcPr>
          <w:p>
            <w:pPr>
              <w:spacing w:after="0"/>
              <w:rPr>
                <w:sz w:val="18"/>
                <w:szCs w:val="18"/>
                <w:color w:val="auto"/>
              </w:rPr>
            </w:pPr>
          </w:p>
        </w:tc>
        <w:tc>
          <w:tcPr>
            <w:tcW w:w="6520" w:type="dxa"/>
            <w:vAlign w:val="bottom"/>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tcPr>
          <w:p>
            <w:pPr>
              <w:spacing w:after="0"/>
              <w:rPr>
                <w:sz w:val="20"/>
                <w:szCs w:val="20"/>
                <w:color w:val="auto"/>
              </w:rPr>
            </w:pPr>
          </w:p>
        </w:tc>
        <w:tc>
          <w:tcPr>
            <w:tcW w:w="190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PERSON WITH</w:t>
            </w:r>
          </w:p>
        </w:tc>
        <w:tc>
          <w:tcPr>
            <w:tcW w:w="760" w:type="dxa"/>
            <w:vAlign w:val="bottom"/>
            <w:tcBorders>
              <w:bottom w:val="single" w:sz="8" w:color="auto"/>
              <w:right w:val="single" w:sz="8" w:color="auto"/>
            </w:tcBorders>
          </w:tcPr>
          <w:p>
            <w:pPr>
              <w:spacing w:after="0"/>
              <w:rPr>
                <w:sz w:val="20"/>
                <w:szCs w:val="20"/>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96,000,000</w:t>
            </w: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8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(8)</w:t>
            </w:r>
          </w:p>
        </w:tc>
        <w:tc>
          <w:tcPr>
            <w:tcW w:w="65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(9)</w:t>
            </w:r>
          </w:p>
        </w:tc>
        <w:tc>
          <w:tcPr>
            <w:tcW w:w="240" w:type="dxa"/>
            <w:vAlign w:val="bottom"/>
            <w:tcBorders>
              <w:right w:val="single" w:sz="8" w:color="auto"/>
            </w:tcBorders>
          </w:tcPr>
          <w:p>
            <w:pPr>
              <w:spacing w:after="0"/>
              <w:rPr>
                <w:sz w:val="19"/>
                <w:szCs w:val="19"/>
                <w:color w:val="auto"/>
              </w:rPr>
            </w:pPr>
          </w:p>
        </w:tc>
        <w:tc>
          <w:tcPr>
            <w:tcW w:w="894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96,000,000</w:t>
            </w:r>
          </w:p>
        </w:tc>
        <w:tc>
          <w:tcPr>
            <w:tcW w:w="7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3"/>
              </w:rPr>
              <w:t>(10)</w:t>
            </w:r>
          </w:p>
        </w:tc>
        <w:tc>
          <w:tcPr>
            <w:tcW w:w="240" w:type="dxa"/>
            <w:vAlign w:val="bottom"/>
            <w:tcBorders>
              <w:right w:val="single" w:sz="8" w:color="auto"/>
            </w:tcBorders>
          </w:tcPr>
          <w:p>
            <w:pPr>
              <w:spacing w:after="0"/>
              <w:rPr>
                <w:sz w:val="19"/>
                <w:szCs w:val="19"/>
                <w:color w:val="auto"/>
              </w:rPr>
            </w:pPr>
          </w:p>
        </w:tc>
        <w:tc>
          <w:tcPr>
            <w:tcW w:w="894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58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3"/>
              </w:rPr>
              <w:t>(11)</w:t>
            </w:r>
          </w:p>
        </w:tc>
        <w:tc>
          <w:tcPr>
            <w:tcW w:w="240" w:type="dxa"/>
            <w:vAlign w:val="bottom"/>
            <w:tcBorders>
              <w:right w:val="single" w:sz="8" w:color="auto"/>
            </w:tcBorders>
          </w:tcPr>
          <w:p>
            <w:pPr>
              <w:spacing w:after="0"/>
              <w:rPr>
                <w:sz w:val="19"/>
                <w:szCs w:val="19"/>
                <w:color w:val="auto"/>
              </w:rPr>
            </w:pPr>
          </w:p>
        </w:tc>
        <w:tc>
          <w:tcPr>
            <w:tcW w:w="894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43.6%*</w:t>
            </w:r>
          </w:p>
        </w:tc>
        <w:tc>
          <w:tcPr>
            <w:tcW w:w="7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3"/>
              </w:rPr>
              <w:t>(12)</w:t>
            </w:r>
          </w:p>
        </w:tc>
        <w:tc>
          <w:tcPr>
            <w:tcW w:w="240" w:type="dxa"/>
            <w:vAlign w:val="bottom"/>
            <w:tcBorders>
              <w:right w:val="single" w:sz="8" w:color="auto"/>
            </w:tcBorders>
          </w:tcPr>
          <w:p>
            <w:pPr>
              <w:spacing w:after="0"/>
              <w:rPr>
                <w:sz w:val="19"/>
                <w:szCs w:val="19"/>
                <w:color w:val="auto"/>
              </w:rPr>
            </w:pPr>
          </w:p>
        </w:tc>
        <w:tc>
          <w:tcPr>
            <w:tcW w:w="894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OO</w:t>
            </w:r>
          </w:p>
        </w:tc>
        <w:tc>
          <w:tcPr>
            <w:tcW w:w="7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8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 Calculation is based upon 220,119,343 ordinary shares outstanding of the Issuer as of the date of this filing.</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 w:name="page4"/>
    <w:bookmarkEnd w:id="3"/>
    <w:p>
      <w:pPr>
        <w:spacing w:after="0"/>
        <w:tabs>
          <w:tab w:leader="none" w:pos="11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68373M107</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8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89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NAME OF REPORTING PERSONS</w:t>
            </w:r>
          </w:p>
        </w:tc>
        <w:tc>
          <w:tcPr>
            <w:tcW w:w="16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bottom w:val="single" w:sz="8" w:color="auto"/>
              <w:right w:val="single" w:sz="8" w:color="auto"/>
            </w:tcBorders>
          </w:tcPr>
          <w:p>
            <w:pPr>
              <w:spacing w:after="0"/>
              <w:rPr>
                <w:sz w:val="24"/>
                <w:szCs w:val="24"/>
                <w:color w:val="auto"/>
              </w:rPr>
            </w:pPr>
          </w:p>
        </w:tc>
        <w:tc>
          <w:tcPr>
            <w:tcW w:w="2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9"/>
              </w:rPr>
              <w:t>Keeneyes Future Holding Inc.</w:t>
            </w:r>
          </w:p>
        </w:tc>
        <w:tc>
          <w:tcPr>
            <w:tcW w:w="65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8940" w:type="dxa"/>
            <w:vAlign w:val="bottom"/>
            <w:gridSpan w:val="3"/>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820" w:type="dxa"/>
            <w:vAlign w:val="bottom"/>
            <w:tcBorders>
              <w:left w:val="single" w:sz="8" w:color="auto"/>
              <w:righ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520" w:type="dxa"/>
            <w:vAlign w:val="bottom"/>
          </w:tcPr>
          <w:p>
            <w:pPr>
              <w:ind w:left="5920"/>
              <w:spacing w:after="0"/>
              <w:rPr>
                <w:sz w:val="20"/>
                <w:szCs w:val="20"/>
                <w:color w:val="auto"/>
              </w:rPr>
            </w:pPr>
            <w:r>
              <w:rPr>
                <w:rFonts w:ascii="Arial" w:cs="Arial" w:eastAsia="Arial" w:hAnsi="Arial"/>
                <w:sz w:val="18"/>
                <w:szCs w:val="18"/>
                <w:color w:val="auto"/>
              </w:rPr>
              <w:t>(a)</w:t>
            </w:r>
          </w:p>
        </w:tc>
        <w:tc>
          <w:tcPr>
            <w:tcW w:w="1660" w:type="dxa"/>
            <w:vAlign w:val="bottom"/>
            <w:tcBorders>
              <w:right w:val="single" w:sz="8" w:color="auto"/>
            </w:tcBorders>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righ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520" w:type="dxa"/>
            <w:vAlign w:val="bottom"/>
          </w:tcPr>
          <w:p>
            <w:pPr>
              <w:ind w:left="5920"/>
              <w:spacing w:after="0"/>
              <w:rPr>
                <w:sz w:val="20"/>
                <w:szCs w:val="20"/>
                <w:color w:val="auto"/>
              </w:rPr>
            </w:pPr>
            <w:r>
              <w:rPr>
                <w:rFonts w:ascii="Arial" w:cs="Arial" w:eastAsia="Arial" w:hAnsi="Arial"/>
                <w:sz w:val="18"/>
                <w:szCs w:val="18"/>
                <w:color w:val="auto"/>
              </w:rPr>
              <w:t>(b)</w:t>
            </w:r>
          </w:p>
        </w:tc>
        <w:tc>
          <w:tcPr>
            <w:tcW w:w="1660" w:type="dxa"/>
            <w:vAlign w:val="bottom"/>
            <w:tcBorders>
              <w:right w:val="single" w:sz="8" w:color="auto"/>
            </w:tcBorders>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520" w:type="dxa"/>
            <w:vAlign w:val="bottom"/>
            <w:tcBorders>
              <w:bottom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SEC USE ONLY</w:t>
            </w:r>
          </w:p>
        </w:tc>
        <w:tc>
          <w:tcPr>
            <w:tcW w:w="760" w:type="dxa"/>
            <w:vAlign w:val="bottom"/>
            <w:tcBorders>
              <w:bottom w:val="single" w:sz="8" w:color="auto"/>
            </w:tcBorders>
          </w:tcPr>
          <w:p>
            <w:pPr>
              <w:spacing w:after="0"/>
              <w:rPr>
                <w:sz w:val="18"/>
                <w:szCs w:val="18"/>
                <w:color w:val="auto"/>
              </w:rPr>
            </w:pPr>
          </w:p>
        </w:tc>
        <w:tc>
          <w:tcPr>
            <w:tcW w:w="652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940" w:type="dxa"/>
            <w:vAlign w:val="bottom"/>
            <w:gridSpan w:val="3"/>
          </w:tcPr>
          <w:p>
            <w:pPr>
              <w:ind w:left="20"/>
              <w:spacing w:after="0"/>
              <w:rPr>
                <w:sz w:val="20"/>
                <w:szCs w:val="20"/>
                <w:color w:val="auto"/>
              </w:rPr>
            </w:pPr>
            <w:r>
              <w:rPr>
                <w:rFonts w:ascii="Arial" w:cs="Arial" w:eastAsia="Arial" w:hAnsi="Arial"/>
                <w:sz w:val="18"/>
                <w:szCs w:val="18"/>
                <w:color w:val="auto"/>
              </w:rPr>
              <w:t>CITIZENSHIP OR PLACE OF ORGANIZATION</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82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Cayman Islands</w:t>
            </w:r>
          </w:p>
        </w:tc>
        <w:tc>
          <w:tcPr>
            <w:tcW w:w="7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Borders>
              <w:lef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(5)</w:t>
            </w:r>
          </w:p>
        </w:tc>
        <w:tc>
          <w:tcPr>
            <w:tcW w:w="6520" w:type="dxa"/>
            <w:vAlign w:val="bottom"/>
          </w:tcPr>
          <w:p>
            <w:pPr>
              <w:spacing w:after="0"/>
              <w:rPr>
                <w:sz w:val="20"/>
                <w:szCs w:val="20"/>
                <w:color w:val="auto"/>
              </w:rPr>
            </w:pPr>
            <w:r>
              <w:rPr>
                <w:rFonts w:ascii="Arial" w:cs="Arial" w:eastAsia="Arial" w:hAnsi="Arial"/>
                <w:sz w:val="18"/>
                <w:szCs w:val="18"/>
                <w:color w:val="auto"/>
              </w:rPr>
              <w:t>SOLE VOTING POWER</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48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760" w:type="dxa"/>
            <w:vAlign w:val="bottom"/>
            <w:tcBorders>
              <w:bottom w:val="single" w:sz="8" w:color="auto"/>
              <w:right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39,000,000</w:t>
            </w: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480" w:type="dxa"/>
            <w:vAlign w:val="bottom"/>
            <w:tcBorders>
              <w:left w:val="single" w:sz="8" w:color="auto"/>
              <w:right w:val="single" w:sz="8" w:color="auto"/>
            </w:tcBorders>
            <w:gridSpan w:val="2"/>
            <w:vMerge w:val="continue"/>
          </w:tcPr>
          <w:p>
            <w:pPr>
              <w:spacing w:after="0"/>
              <w:rPr>
                <w:sz w:val="16"/>
                <w:szCs w:val="16"/>
                <w:color w:val="auto"/>
              </w:rPr>
            </w:pPr>
          </w:p>
        </w:tc>
        <w:tc>
          <w:tcPr>
            <w:tcW w:w="760" w:type="dxa"/>
            <w:vAlign w:val="bottom"/>
            <w:tcBorders>
              <w:right w:val="single" w:sz="8" w:color="auto"/>
            </w:tcBorders>
          </w:tcPr>
          <w:p>
            <w:pPr>
              <w:jc w:val="right"/>
              <w:ind w:right="190"/>
              <w:spacing w:after="0" w:line="195" w:lineRule="exact"/>
              <w:rPr>
                <w:sz w:val="20"/>
                <w:szCs w:val="20"/>
                <w:color w:val="auto"/>
              </w:rPr>
            </w:pPr>
            <w:r>
              <w:rPr>
                <w:rFonts w:ascii="Arial" w:cs="Arial" w:eastAsia="Arial" w:hAnsi="Arial"/>
                <w:sz w:val="18"/>
                <w:szCs w:val="18"/>
                <w:b w:val="1"/>
                <w:bCs w:val="1"/>
                <w:color w:val="auto"/>
              </w:rPr>
              <w:t>(6)</w:t>
            </w:r>
          </w:p>
        </w:tc>
        <w:tc>
          <w:tcPr>
            <w:tcW w:w="652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1"/>
              </w:rPr>
              <w:t>SHARES</w:t>
            </w:r>
          </w:p>
        </w:tc>
        <w:tc>
          <w:tcPr>
            <w:tcW w:w="760" w:type="dxa"/>
            <w:vAlign w:val="bottom"/>
            <w:tcBorders>
              <w:right w:val="single" w:sz="8" w:color="auto"/>
            </w:tcBorders>
          </w:tcPr>
          <w:p>
            <w:pPr>
              <w:spacing w:after="0"/>
              <w:rPr>
                <w:sz w:val="18"/>
                <w:szCs w:val="18"/>
                <w:color w:val="auto"/>
              </w:rPr>
            </w:pPr>
          </w:p>
        </w:tc>
        <w:tc>
          <w:tcPr>
            <w:tcW w:w="6520" w:type="dxa"/>
            <w:vAlign w:val="bottom"/>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760" w:type="dxa"/>
            <w:vAlign w:val="bottom"/>
            <w:tcBorders>
              <w:bottom w:val="single" w:sz="8" w:color="auto"/>
              <w:right w:val="single" w:sz="8" w:color="auto"/>
            </w:tcBorders>
          </w:tcPr>
          <w:p>
            <w:pPr>
              <w:spacing w:after="0"/>
              <w:rPr>
                <w:sz w:val="20"/>
                <w:szCs w:val="20"/>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480" w:type="dxa"/>
            <w:vAlign w:val="bottom"/>
            <w:tcBorders>
              <w:left w:val="single" w:sz="8" w:color="auto"/>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7"/>
              </w:rPr>
              <w:t>OWNED BY EACH</w:t>
            </w:r>
          </w:p>
        </w:tc>
        <w:tc>
          <w:tcPr>
            <w:tcW w:w="760" w:type="dxa"/>
            <w:vAlign w:val="bottom"/>
            <w:tcBorders>
              <w:right w:val="single" w:sz="8" w:color="auto"/>
            </w:tcBorders>
          </w:tcPr>
          <w:p>
            <w:pPr>
              <w:jc w:val="right"/>
              <w:ind w:right="190"/>
              <w:spacing w:after="0" w:line="195" w:lineRule="exact"/>
              <w:rPr>
                <w:sz w:val="20"/>
                <w:szCs w:val="20"/>
                <w:color w:val="auto"/>
              </w:rPr>
            </w:pPr>
            <w:r>
              <w:rPr>
                <w:rFonts w:ascii="Arial" w:cs="Arial" w:eastAsia="Arial" w:hAnsi="Arial"/>
                <w:sz w:val="18"/>
                <w:szCs w:val="18"/>
                <w:b w:val="1"/>
                <w:bCs w:val="1"/>
                <w:color w:val="auto"/>
              </w:rPr>
              <w:t>(7)</w:t>
            </w:r>
          </w:p>
        </w:tc>
        <w:tc>
          <w:tcPr>
            <w:tcW w:w="652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760" w:type="dxa"/>
            <w:vAlign w:val="bottom"/>
            <w:tcBorders>
              <w:right w:val="single" w:sz="8" w:color="auto"/>
            </w:tcBorders>
          </w:tcPr>
          <w:p>
            <w:pPr>
              <w:spacing w:after="0"/>
              <w:rPr>
                <w:sz w:val="18"/>
                <w:szCs w:val="18"/>
                <w:color w:val="auto"/>
              </w:rPr>
            </w:pPr>
          </w:p>
        </w:tc>
        <w:tc>
          <w:tcPr>
            <w:tcW w:w="6520" w:type="dxa"/>
            <w:vAlign w:val="bottom"/>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PERSON WITH</w:t>
            </w:r>
          </w:p>
        </w:tc>
        <w:tc>
          <w:tcPr>
            <w:tcW w:w="760" w:type="dxa"/>
            <w:vAlign w:val="bottom"/>
            <w:tcBorders>
              <w:bottom w:val="single" w:sz="8" w:color="auto"/>
              <w:right w:val="single" w:sz="8" w:color="auto"/>
            </w:tcBorders>
          </w:tcPr>
          <w:p>
            <w:pPr>
              <w:spacing w:after="0"/>
              <w:rPr>
                <w:sz w:val="20"/>
                <w:szCs w:val="20"/>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39,000,000</w:t>
            </w: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20" w:type="dxa"/>
            <w:vAlign w:val="bottom"/>
            <w:tcBorders>
              <w:lef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(8)</w:t>
            </w:r>
          </w:p>
        </w:tc>
        <w:tc>
          <w:tcPr>
            <w:tcW w:w="65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820" w:type="dxa"/>
            <w:vAlign w:val="bottom"/>
            <w:tcBorders>
              <w:left w:val="single" w:sz="8" w:color="auto"/>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(9)</w:t>
            </w:r>
          </w:p>
        </w:tc>
        <w:tc>
          <w:tcPr>
            <w:tcW w:w="894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82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39,000,000</w:t>
            </w:r>
          </w:p>
        </w:tc>
        <w:tc>
          <w:tcPr>
            <w:tcW w:w="7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(10)</w:t>
            </w:r>
          </w:p>
        </w:tc>
        <w:tc>
          <w:tcPr>
            <w:tcW w:w="894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82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(11)</w:t>
            </w:r>
          </w:p>
        </w:tc>
        <w:tc>
          <w:tcPr>
            <w:tcW w:w="894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82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17.7%*</w:t>
            </w:r>
          </w:p>
        </w:tc>
        <w:tc>
          <w:tcPr>
            <w:tcW w:w="7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(12)</w:t>
            </w:r>
          </w:p>
        </w:tc>
        <w:tc>
          <w:tcPr>
            <w:tcW w:w="894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w:t>
            </w:r>
          </w:p>
        </w:tc>
        <w:tc>
          <w:tcPr>
            <w:tcW w:w="7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 Calculation is based upon 220,119,343 ordinary shares outstanding of the Issuer as of the date of this filing.</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 w:name="page5"/>
    <w:bookmarkEnd w:id="4"/>
    <w:p>
      <w:pPr>
        <w:spacing w:after="0"/>
        <w:tabs>
          <w:tab w:leader="none" w:pos="11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68373M107</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580" w:type="dxa"/>
            <w:vAlign w:val="bottom"/>
            <w:tcBorders>
              <w:top w:val="single" w:sz="8" w:color="auto"/>
              <w:lef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(1)</w:t>
            </w:r>
          </w:p>
        </w:tc>
        <w:tc>
          <w:tcPr>
            <w:tcW w:w="240" w:type="dxa"/>
            <w:vAlign w:val="bottom"/>
            <w:tcBorders>
              <w:top w:val="single" w:sz="8" w:color="auto"/>
              <w:right w:val="single" w:sz="8" w:color="auto"/>
            </w:tcBorders>
          </w:tcPr>
          <w:p>
            <w:pPr>
              <w:spacing w:after="0"/>
              <w:rPr>
                <w:sz w:val="22"/>
                <w:szCs w:val="22"/>
                <w:color w:val="auto"/>
              </w:rPr>
            </w:pPr>
          </w:p>
        </w:tc>
        <w:tc>
          <w:tcPr>
            <w:tcW w:w="89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NAME OF REPORTING PERSONS</w:t>
            </w:r>
          </w:p>
        </w:tc>
        <w:tc>
          <w:tcPr>
            <w:tcW w:w="16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Yahui Zhou</w:t>
            </w:r>
          </w:p>
        </w:tc>
        <w:tc>
          <w:tcPr>
            <w:tcW w:w="7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(2)</w:t>
            </w:r>
          </w:p>
        </w:tc>
        <w:tc>
          <w:tcPr>
            <w:tcW w:w="240" w:type="dxa"/>
            <w:vAlign w:val="bottom"/>
            <w:tcBorders>
              <w:right w:val="single" w:sz="8" w:color="auto"/>
            </w:tcBorders>
          </w:tcPr>
          <w:p>
            <w:pPr>
              <w:spacing w:after="0"/>
              <w:rPr>
                <w:sz w:val="19"/>
                <w:szCs w:val="19"/>
                <w:color w:val="auto"/>
              </w:rPr>
            </w:pPr>
          </w:p>
        </w:tc>
        <w:tc>
          <w:tcPr>
            <w:tcW w:w="8940" w:type="dxa"/>
            <w:vAlign w:val="bottom"/>
            <w:gridSpan w:val="3"/>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5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520" w:type="dxa"/>
            <w:vAlign w:val="bottom"/>
          </w:tcPr>
          <w:p>
            <w:pPr>
              <w:ind w:left="5920"/>
              <w:spacing w:after="0"/>
              <w:rPr>
                <w:sz w:val="20"/>
                <w:szCs w:val="20"/>
                <w:color w:val="auto"/>
              </w:rPr>
            </w:pPr>
            <w:r>
              <w:rPr>
                <w:rFonts w:ascii="Arial" w:cs="Arial" w:eastAsia="Arial" w:hAnsi="Arial"/>
                <w:sz w:val="18"/>
                <w:szCs w:val="18"/>
                <w:color w:val="auto"/>
              </w:rPr>
              <w:t>(a)</w:t>
            </w:r>
          </w:p>
        </w:tc>
        <w:tc>
          <w:tcPr>
            <w:tcW w:w="1660" w:type="dxa"/>
            <w:vAlign w:val="bottom"/>
            <w:tcBorders>
              <w:right w:val="single" w:sz="8" w:color="auto"/>
            </w:tcBorders>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2"/>
        </w:trPr>
        <w:tc>
          <w:tcPr>
            <w:tcW w:w="5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520" w:type="dxa"/>
            <w:vAlign w:val="bottom"/>
          </w:tcPr>
          <w:p>
            <w:pPr>
              <w:ind w:left="5920"/>
              <w:spacing w:after="0"/>
              <w:rPr>
                <w:sz w:val="20"/>
                <w:szCs w:val="20"/>
                <w:color w:val="auto"/>
              </w:rPr>
            </w:pPr>
            <w:r>
              <w:rPr>
                <w:rFonts w:ascii="Arial" w:cs="Arial" w:eastAsia="Arial" w:hAnsi="Arial"/>
                <w:sz w:val="18"/>
                <w:szCs w:val="18"/>
                <w:color w:val="auto"/>
              </w:rPr>
              <w:t>(b)</w:t>
            </w:r>
          </w:p>
        </w:tc>
        <w:tc>
          <w:tcPr>
            <w:tcW w:w="1660" w:type="dxa"/>
            <w:vAlign w:val="bottom"/>
            <w:tcBorders>
              <w:right w:val="single" w:sz="8" w:color="auto"/>
            </w:tcBorders>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580" w:type="dxa"/>
            <w:vAlign w:val="bottom"/>
            <w:tcBorders>
              <w:left w:val="single" w:sz="8" w:color="auto"/>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520" w:type="dxa"/>
            <w:vAlign w:val="bottom"/>
            <w:tcBorders>
              <w:bottom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(3)</w:t>
            </w:r>
          </w:p>
        </w:tc>
        <w:tc>
          <w:tcPr>
            <w:tcW w:w="2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SEC USE ONLY</w:t>
            </w:r>
          </w:p>
        </w:tc>
        <w:tc>
          <w:tcPr>
            <w:tcW w:w="760" w:type="dxa"/>
            <w:vAlign w:val="bottom"/>
            <w:tcBorders>
              <w:bottom w:val="single" w:sz="8" w:color="auto"/>
            </w:tcBorders>
          </w:tcPr>
          <w:p>
            <w:pPr>
              <w:spacing w:after="0"/>
              <w:rPr>
                <w:sz w:val="18"/>
                <w:szCs w:val="18"/>
                <w:color w:val="auto"/>
              </w:rPr>
            </w:pPr>
          </w:p>
        </w:tc>
        <w:tc>
          <w:tcPr>
            <w:tcW w:w="652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(4)</w:t>
            </w:r>
          </w:p>
        </w:tc>
        <w:tc>
          <w:tcPr>
            <w:tcW w:w="240" w:type="dxa"/>
            <w:vAlign w:val="bottom"/>
            <w:tcBorders>
              <w:right w:val="single" w:sz="8" w:color="auto"/>
            </w:tcBorders>
          </w:tcPr>
          <w:p>
            <w:pPr>
              <w:spacing w:after="0"/>
              <w:rPr>
                <w:sz w:val="19"/>
                <w:szCs w:val="19"/>
                <w:color w:val="auto"/>
              </w:rPr>
            </w:pPr>
          </w:p>
        </w:tc>
        <w:tc>
          <w:tcPr>
            <w:tcW w:w="8940" w:type="dxa"/>
            <w:vAlign w:val="bottom"/>
            <w:gridSpan w:val="3"/>
          </w:tcPr>
          <w:p>
            <w:pPr>
              <w:ind w:left="20"/>
              <w:spacing w:after="0"/>
              <w:rPr>
                <w:sz w:val="20"/>
                <w:szCs w:val="20"/>
                <w:color w:val="auto"/>
              </w:rPr>
            </w:pPr>
            <w:r>
              <w:rPr>
                <w:rFonts w:ascii="Arial" w:cs="Arial" w:eastAsia="Arial" w:hAnsi="Arial"/>
                <w:sz w:val="18"/>
                <w:szCs w:val="18"/>
                <w:color w:val="auto"/>
              </w:rPr>
              <w:t>CITIZENSHIP OR PLACE OF ORGANIZATION</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People’s Republic of China</w:t>
            </w:r>
          </w:p>
        </w:tc>
        <w:tc>
          <w:tcPr>
            <w:tcW w:w="65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(5)</w:t>
            </w:r>
          </w:p>
        </w:tc>
        <w:tc>
          <w:tcPr>
            <w:tcW w:w="6520" w:type="dxa"/>
            <w:vAlign w:val="bottom"/>
          </w:tcPr>
          <w:p>
            <w:pPr>
              <w:spacing w:after="0"/>
              <w:rPr>
                <w:sz w:val="20"/>
                <w:szCs w:val="20"/>
                <w:color w:val="auto"/>
              </w:rPr>
            </w:pPr>
            <w:r>
              <w:rPr>
                <w:rFonts w:ascii="Arial" w:cs="Arial" w:eastAsia="Arial" w:hAnsi="Arial"/>
                <w:sz w:val="18"/>
                <w:szCs w:val="18"/>
                <w:color w:val="auto"/>
              </w:rPr>
              <w:t>SOLE VOTING POWER</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Borders>
              <w:left w:val="single" w:sz="8" w:color="auto"/>
            </w:tcBorders>
          </w:tcPr>
          <w:p>
            <w:pPr>
              <w:spacing w:after="0"/>
              <w:rPr>
                <w:sz w:val="24"/>
                <w:szCs w:val="24"/>
                <w:color w:val="auto"/>
              </w:rPr>
            </w:pPr>
          </w:p>
        </w:tc>
        <w:tc>
          <w:tcPr>
            <w:tcW w:w="190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6"/>
              </w:rPr>
              <w:t>NUMBER OF</w:t>
            </w:r>
          </w:p>
        </w:tc>
        <w:tc>
          <w:tcPr>
            <w:tcW w:w="760" w:type="dxa"/>
            <w:vAlign w:val="bottom"/>
            <w:tcBorders>
              <w:bottom w:val="single" w:sz="8" w:color="auto"/>
              <w:right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135,000,000</w:t>
            </w: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80" w:type="dxa"/>
            <w:vAlign w:val="bottom"/>
            <w:tcBorders>
              <w:left w:val="single" w:sz="8" w:color="auto"/>
            </w:tcBorders>
          </w:tcPr>
          <w:p>
            <w:pPr>
              <w:spacing w:after="0"/>
              <w:rPr>
                <w:sz w:val="16"/>
                <w:szCs w:val="16"/>
                <w:color w:val="auto"/>
              </w:rPr>
            </w:pPr>
          </w:p>
        </w:tc>
        <w:tc>
          <w:tcPr>
            <w:tcW w:w="1900" w:type="dxa"/>
            <w:vAlign w:val="bottom"/>
            <w:tcBorders>
              <w:right w:val="single" w:sz="8" w:color="auto"/>
            </w:tcBorders>
            <w:gridSpan w:val="2"/>
            <w:vMerge w:val="continue"/>
          </w:tcPr>
          <w:p>
            <w:pPr>
              <w:spacing w:after="0"/>
              <w:rPr>
                <w:sz w:val="16"/>
                <w:szCs w:val="16"/>
                <w:color w:val="auto"/>
              </w:rPr>
            </w:pPr>
          </w:p>
        </w:tc>
        <w:tc>
          <w:tcPr>
            <w:tcW w:w="760" w:type="dxa"/>
            <w:vAlign w:val="bottom"/>
            <w:tcBorders>
              <w:right w:val="single" w:sz="8" w:color="auto"/>
            </w:tcBorders>
          </w:tcPr>
          <w:p>
            <w:pPr>
              <w:jc w:val="right"/>
              <w:ind w:right="190"/>
              <w:spacing w:after="0" w:line="195" w:lineRule="exact"/>
              <w:rPr>
                <w:sz w:val="20"/>
                <w:szCs w:val="20"/>
                <w:color w:val="auto"/>
              </w:rPr>
            </w:pPr>
            <w:r>
              <w:rPr>
                <w:rFonts w:ascii="Arial" w:cs="Arial" w:eastAsia="Arial" w:hAnsi="Arial"/>
                <w:sz w:val="18"/>
                <w:szCs w:val="18"/>
                <w:b w:val="1"/>
                <w:bCs w:val="1"/>
                <w:color w:val="auto"/>
              </w:rPr>
              <w:t>(6)</w:t>
            </w:r>
          </w:p>
        </w:tc>
        <w:tc>
          <w:tcPr>
            <w:tcW w:w="652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1"/>
              </w:rPr>
              <w:t>SHARES</w:t>
            </w:r>
          </w:p>
        </w:tc>
        <w:tc>
          <w:tcPr>
            <w:tcW w:w="760" w:type="dxa"/>
            <w:vAlign w:val="bottom"/>
            <w:tcBorders>
              <w:right w:val="single" w:sz="8" w:color="auto"/>
            </w:tcBorders>
          </w:tcPr>
          <w:p>
            <w:pPr>
              <w:spacing w:after="0"/>
              <w:rPr>
                <w:sz w:val="18"/>
                <w:szCs w:val="18"/>
                <w:color w:val="auto"/>
              </w:rPr>
            </w:pPr>
          </w:p>
        </w:tc>
        <w:tc>
          <w:tcPr>
            <w:tcW w:w="6520" w:type="dxa"/>
            <w:vAlign w:val="bottom"/>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tcPr>
          <w:p>
            <w:pPr>
              <w:spacing w:after="0"/>
              <w:rPr>
                <w:sz w:val="20"/>
                <w:szCs w:val="20"/>
                <w:color w:val="auto"/>
              </w:rPr>
            </w:pPr>
          </w:p>
        </w:tc>
        <w:tc>
          <w:tcPr>
            <w:tcW w:w="190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rPr>
              <w:t>BENEFICIALLY</w:t>
            </w:r>
          </w:p>
        </w:tc>
        <w:tc>
          <w:tcPr>
            <w:tcW w:w="760" w:type="dxa"/>
            <w:vAlign w:val="bottom"/>
            <w:tcBorders>
              <w:bottom w:val="single" w:sz="8" w:color="auto"/>
              <w:right w:val="single" w:sz="8" w:color="auto"/>
            </w:tcBorders>
          </w:tcPr>
          <w:p>
            <w:pPr>
              <w:spacing w:after="0"/>
              <w:rPr>
                <w:sz w:val="20"/>
                <w:szCs w:val="20"/>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4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7"/>
              </w:rPr>
              <w:t>OWNED BY EACH</w:t>
            </w:r>
          </w:p>
        </w:tc>
        <w:tc>
          <w:tcPr>
            <w:tcW w:w="760" w:type="dxa"/>
            <w:vAlign w:val="bottom"/>
            <w:tcBorders>
              <w:right w:val="single" w:sz="8" w:color="auto"/>
            </w:tcBorders>
          </w:tcPr>
          <w:p>
            <w:pPr>
              <w:jc w:val="right"/>
              <w:ind w:right="190"/>
              <w:spacing w:after="0" w:line="195" w:lineRule="exact"/>
              <w:rPr>
                <w:sz w:val="20"/>
                <w:szCs w:val="20"/>
                <w:color w:val="auto"/>
              </w:rPr>
            </w:pPr>
            <w:r>
              <w:rPr>
                <w:rFonts w:ascii="Arial" w:cs="Arial" w:eastAsia="Arial" w:hAnsi="Arial"/>
                <w:sz w:val="18"/>
                <w:szCs w:val="18"/>
                <w:b w:val="1"/>
                <w:bCs w:val="1"/>
                <w:color w:val="auto"/>
              </w:rPr>
              <w:t>(7)</w:t>
            </w:r>
          </w:p>
        </w:tc>
        <w:tc>
          <w:tcPr>
            <w:tcW w:w="652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3"/>
              </w:rPr>
              <w:t>REPORTING</w:t>
            </w:r>
          </w:p>
        </w:tc>
        <w:tc>
          <w:tcPr>
            <w:tcW w:w="760" w:type="dxa"/>
            <w:vAlign w:val="bottom"/>
            <w:tcBorders>
              <w:right w:val="single" w:sz="8" w:color="auto"/>
            </w:tcBorders>
          </w:tcPr>
          <w:p>
            <w:pPr>
              <w:spacing w:after="0"/>
              <w:rPr>
                <w:sz w:val="18"/>
                <w:szCs w:val="18"/>
                <w:color w:val="auto"/>
              </w:rPr>
            </w:pPr>
          </w:p>
        </w:tc>
        <w:tc>
          <w:tcPr>
            <w:tcW w:w="6520" w:type="dxa"/>
            <w:vAlign w:val="bottom"/>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tcPr>
          <w:p>
            <w:pPr>
              <w:spacing w:after="0"/>
              <w:rPr>
                <w:sz w:val="20"/>
                <w:szCs w:val="20"/>
                <w:color w:val="auto"/>
              </w:rPr>
            </w:pPr>
          </w:p>
        </w:tc>
        <w:tc>
          <w:tcPr>
            <w:tcW w:w="190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PERSON WITH</w:t>
            </w:r>
          </w:p>
        </w:tc>
        <w:tc>
          <w:tcPr>
            <w:tcW w:w="760" w:type="dxa"/>
            <w:vAlign w:val="bottom"/>
            <w:tcBorders>
              <w:bottom w:val="single" w:sz="8" w:color="auto"/>
              <w:right w:val="single" w:sz="8" w:color="auto"/>
            </w:tcBorders>
          </w:tcPr>
          <w:p>
            <w:pPr>
              <w:spacing w:after="0"/>
              <w:rPr>
                <w:sz w:val="20"/>
                <w:szCs w:val="20"/>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135,000,000</w:t>
            </w: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8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(8)</w:t>
            </w:r>
          </w:p>
        </w:tc>
        <w:tc>
          <w:tcPr>
            <w:tcW w:w="65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(9)</w:t>
            </w:r>
          </w:p>
        </w:tc>
        <w:tc>
          <w:tcPr>
            <w:tcW w:w="240" w:type="dxa"/>
            <w:vAlign w:val="bottom"/>
            <w:tcBorders>
              <w:right w:val="single" w:sz="8" w:color="auto"/>
            </w:tcBorders>
          </w:tcPr>
          <w:p>
            <w:pPr>
              <w:spacing w:after="0"/>
              <w:rPr>
                <w:sz w:val="19"/>
                <w:szCs w:val="19"/>
                <w:color w:val="auto"/>
              </w:rPr>
            </w:pPr>
          </w:p>
        </w:tc>
        <w:tc>
          <w:tcPr>
            <w:tcW w:w="894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135,000,000</w:t>
            </w:r>
          </w:p>
        </w:tc>
        <w:tc>
          <w:tcPr>
            <w:tcW w:w="7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3"/>
              </w:rPr>
              <w:t>(10)</w:t>
            </w:r>
          </w:p>
        </w:tc>
        <w:tc>
          <w:tcPr>
            <w:tcW w:w="240" w:type="dxa"/>
            <w:vAlign w:val="bottom"/>
            <w:tcBorders>
              <w:right w:val="single" w:sz="8" w:color="auto"/>
            </w:tcBorders>
          </w:tcPr>
          <w:p>
            <w:pPr>
              <w:spacing w:after="0"/>
              <w:rPr>
                <w:sz w:val="19"/>
                <w:szCs w:val="19"/>
                <w:color w:val="auto"/>
              </w:rPr>
            </w:pPr>
          </w:p>
        </w:tc>
        <w:tc>
          <w:tcPr>
            <w:tcW w:w="894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58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3"/>
              </w:rPr>
              <w:t>(11)</w:t>
            </w:r>
          </w:p>
        </w:tc>
        <w:tc>
          <w:tcPr>
            <w:tcW w:w="240" w:type="dxa"/>
            <w:vAlign w:val="bottom"/>
            <w:tcBorders>
              <w:right w:val="single" w:sz="8" w:color="auto"/>
            </w:tcBorders>
          </w:tcPr>
          <w:p>
            <w:pPr>
              <w:spacing w:after="0"/>
              <w:rPr>
                <w:sz w:val="19"/>
                <w:szCs w:val="19"/>
                <w:color w:val="auto"/>
              </w:rPr>
            </w:pPr>
          </w:p>
        </w:tc>
        <w:tc>
          <w:tcPr>
            <w:tcW w:w="894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61.3%*</w:t>
            </w:r>
          </w:p>
        </w:tc>
        <w:tc>
          <w:tcPr>
            <w:tcW w:w="7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3"/>
              </w:rPr>
              <w:t>(12)</w:t>
            </w:r>
          </w:p>
        </w:tc>
        <w:tc>
          <w:tcPr>
            <w:tcW w:w="240" w:type="dxa"/>
            <w:vAlign w:val="bottom"/>
            <w:tcBorders>
              <w:right w:val="single" w:sz="8" w:color="auto"/>
            </w:tcBorders>
          </w:tcPr>
          <w:p>
            <w:pPr>
              <w:spacing w:after="0"/>
              <w:rPr>
                <w:sz w:val="19"/>
                <w:szCs w:val="19"/>
                <w:color w:val="auto"/>
              </w:rPr>
            </w:pPr>
          </w:p>
        </w:tc>
        <w:tc>
          <w:tcPr>
            <w:tcW w:w="894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w:t>
            </w:r>
          </w:p>
        </w:tc>
        <w:tc>
          <w:tcPr>
            <w:tcW w:w="7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 Calculation is based upon 220,119,343 ordinary shares outstanding of the Issuer as of the date of this filing.</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Name of Issuer:</w:t>
      </w:r>
    </w:p>
    <w:p>
      <w:pPr>
        <w:spacing w:after="0" w:line="211" w:lineRule="exact"/>
        <w:rPr>
          <w:sz w:val="20"/>
          <w:szCs w:val="20"/>
          <w:color w:val="auto"/>
        </w:rPr>
      </w:pPr>
    </w:p>
    <w:p>
      <w:pPr>
        <w:sectPr>
          <w:pgSz w:w="11900" w:h="16838" w:orient="portrait"/>
          <w:cols w:equalWidth="0" w:num="2">
            <w:col w:w="760" w:space="540"/>
            <w:col w:w="10120"/>
          </w:cols>
          <w:pgMar w:left="240" w:top="580" w:right="239" w:bottom="1440" w:gutter="0" w:footer="0" w:header="0"/>
        </w:sectPr>
      </w:pPr>
    </w:p>
    <w:p>
      <w:pPr>
        <w:spacing w:after="0" w:line="4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Opera Limited</w:t>
      </w:r>
    </w:p>
    <w:p>
      <w:pPr>
        <w:sectPr>
          <w:pgSz w:w="11900" w:h="16838" w:orient="portrait"/>
          <w:cols w:equalWidth="0" w:num="1">
            <w:col w:w="11420"/>
          </w:cols>
          <w:pgMar w:left="240" w:top="580" w:right="2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of Issuer’s Principal Executive Offices:</w:t>
      </w:r>
    </w:p>
    <w:p>
      <w:pPr>
        <w:spacing w:after="0" w:line="211" w:lineRule="exact"/>
        <w:rPr>
          <w:sz w:val="20"/>
          <w:szCs w:val="20"/>
          <w:color w:val="auto"/>
        </w:rPr>
      </w:pPr>
    </w:p>
    <w:p>
      <w:pPr>
        <w:sectPr>
          <w:pgSz w:w="11900" w:h="16838" w:orient="portrait"/>
          <w:cols w:equalWidth="0" w:num="2">
            <w:col w:w="760" w:space="540"/>
            <w:col w:w="10120"/>
          </w:cols>
          <w:pgMar w:left="240" w:top="580" w:right="239" w:bottom="1440" w:gutter="0" w:footer="0" w:header="0"/>
          <w:type w:val="continuous"/>
        </w:sectPr>
      </w:pPr>
    </w:p>
    <w:p>
      <w:pPr>
        <w:spacing w:after="0" w:line="4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Gjerdrums vei 19, 0484 Oslo, Norway</w:t>
      </w:r>
    </w:p>
    <w:p>
      <w:pPr>
        <w:sectPr>
          <w:pgSz w:w="11900" w:h="16838" w:orient="portrait"/>
          <w:cols w:equalWidth="0" w:num="1">
            <w:col w:w="11420"/>
          </w:cols>
          <w:pgMar w:left="240" w:top="580" w:right="2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2(a).</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Person Filing:</w:t>
      </w:r>
    </w:p>
    <w:p>
      <w:pPr>
        <w:spacing w:after="0" w:line="211" w:lineRule="exact"/>
        <w:rPr>
          <w:sz w:val="20"/>
          <w:szCs w:val="20"/>
          <w:color w:val="auto"/>
        </w:rPr>
      </w:pPr>
    </w:p>
    <w:p>
      <w:pPr>
        <w:sectPr>
          <w:pgSz w:w="11900" w:h="16838" w:orient="portrait"/>
          <w:cols w:equalWidth="0" w:num="2">
            <w:col w:w="760" w:space="540"/>
            <w:col w:w="10120"/>
          </w:cols>
          <w:pgMar w:left="240" w:top="580" w:right="239" w:bottom="1440" w:gutter="0" w:footer="0" w:header="0"/>
          <w:type w:val="continuous"/>
        </w:sectPr>
      </w:pPr>
    </w:p>
    <w:p>
      <w:pPr>
        <w:spacing w:after="0" w:line="41" w:lineRule="exact"/>
        <w:rPr>
          <w:sz w:val="20"/>
          <w:szCs w:val="20"/>
          <w:color w:val="auto"/>
        </w:rPr>
      </w:pPr>
    </w:p>
    <w:p>
      <w:pPr>
        <w:ind w:left="1920" w:right="40" w:hanging="318"/>
        <w:spacing w:after="0" w:line="277" w:lineRule="auto"/>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Kunlun Tech Limited, a limited liability company incorporated in Hong Kong (“Kunlun Tech”), directly holds 96,000,000 ordinary shares of the Issuer.</w:t>
      </w:r>
    </w:p>
    <w:p>
      <w:pPr>
        <w:spacing w:after="0" w:line="170" w:lineRule="exact"/>
        <w:rPr>
          <w:rFonts w:ascii="Arial" w:cs="Arial" w:eastAsia="Arial" w:hAnsi="Arial"/>
          <w:sz w:val="18"/>
          <w:szCs w:val="18"/>
          <w:color w:val="auto"/>
        </w:rPr>
      </w:pPr>
    </w:p>
    <w:p>
      <w:pPr>
        <w:ind w:left="1920" w:right="40" w:hanging="318"/>
        <w:spacing w:after="0" w:line="277" w:lineRule="auto"/>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Beijing Kunlun Tech Co., Ltd., a company incorporated in the People’s Republic of China (“Beijing Kunlun Tech”), holds 100% of the equity interest of Kunlun Tech.</w:t>
      </w:r>
    </w:p>
    <w:p>
      <w:pPr>
        <w:spacing w:after="0" w:line="170" w:lineRule="exact"/>
        <w:rPr>
          <w:rFonts w:ascii="Arial" w:cs="Arial" w:eastAsia="Arial" w:hAnsi="Arial"/>
          <w:sz w:val="18"/>
          <w:szCs w:val="18"/>
          <w:color w:val="auto"/>
        </w:rPr>
      </w:pPr>
    </w:p>
    <w:p>
      <w:pPr>
        <w:ind w:left="1920" w:right="500" w:hanging="318"/>
        <w:spacing w:after="0" w:line="277" w:lineRule="auto"/>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Keeneyes Future Holding Inc., an exempted company established in the Cayman Islands (“Keeneyes Future”), directly holds 39,000,000 ordinary shares of the Issuer.</w:t>
      </w:r>
    </w:p>
    <w:p>
      <w:pPr>
        <w:spacing w:after="0" w:line="170" w:lineRule="exact"/>
        <w:rPr>
          <w:rFonts w:ascii="Arial" w:cs="Arial" w:eastAsia="Arial" w:hAnsi="Arial"/>
          <w:sz w:val="18"/>
          <w:szCs w:val="18"/>
          <w:color w:val="auto"/>
        </w:rPr>
      </w:pPr>
    </w:p>
    <w:p>
      <w:pPr>
        <w:ind w:left="1920" w:hanging="318"/>
        <w:spacing w:after="0" w:line="259" w:lineRule="auto"/>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Yahui Zhou, the chairman of the board and chief executive officer of the Issuer, beneficially owns 135,000,000 ordinary shares of the Issuer through (i) 96,000,000 ordinary shares held by Kunlun Tech, which is wholly owned by Beijing Kunlun Tech, a company in which Yahui Zhou holds 25.9% of the equity interest and serves as the chairman of the board of directors and (ii) 39,000,000 ordinary shares held by Keeneyes Future, which is wholly owned by Yahui Zhou.</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432"/>
        </w:trPr>
        <w:tc>
          <w:tcPr>
            <w:tcW w:w="1020" w:type="dxa"/>
            <w:vAlign w:val="bottom"/>
          </w:tcPr>
          <w:p>
            <w:pPr>
              <w:spacing w:after="0"/>
              <w:rPr>
                <w:sz w:val="24"/>
                <w:szCs w:val="24"/>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rPr>
              <w:t>For Kunlun Tech:</w:t>
            </w:r>
          </w:p>
        </w:tc>
      </w:tr>
      <w:tr>
        <w:trPr>
          <w:trHeight w:val="432"/>
        </w:trPr>
        <w:tc>
          <w:tcPr>
            <w:tcW w:w="1020" w:type="dxa"/>
            <w:vAlign w:val="bottom"/>
          </w:tcPr>
          <w:p>
            <w:pPr>
              <w:spacing w:after="0"/>
              <w:rPr>
                <w:sz w:val="24"/>
                <w:szCs w:val="24"/>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rPr>
              <w:t>Flat/Rm 1903, 19/F, Lee Garden One, 33 Hysan Avenue, Causeway Bay, Hong Kong</w:t>
            </w:r>
          </w:p>
        </w:tc>
      </w:tr>
      <w:tr>
        <w:trPr>
          <w:trHeight w:val="432"/>
        </w:trPr>
        <w:tc>
          <w:tcPr>
            <w:tcW w:w="1020" w:type="dxa"/>
            <w:vAlign w:val="bottom"/>
          </w:tcPr>
          <w:p>
            <w:pPr>
              <w:spacing w:after="0"/>
              <w:rPr>
                <w:sz w:val="24"/>
                <w:szCs w:val="24"/>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rPr>
              <w:t>For Beijing Kunlun Tech:</w:t>
            </w:r>
          </w:p>
        </w:tc>
      </w:tr>
      <w:tr>
        <w:trPr>
          <w:trHeight w:val="432"/>
        </w:trPr>
        <w:tc>
          <w:tcPr>
            <w:tcW w:w="1020" w:type="dxa"/>
            <w:vAlign w:val="bottom"/>
          </w:tcPr>
          <w:p>
            <w:pPr>
              <w:spacing w:after="0"/>
              <w:rPr>
                <w:sz w:val="24"/>
                <w:szCs w:val="24"/>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rPr>
              <w:t>46 Xizongbu hutong, Mingyang International Center, Block B, Dongcheng District, Beijing 100005, People’s Republic of China</w:t>
            </w:r>
          </w:p>
        </w:tc>
      </w:tr>
      <w:tr>
        <w:trPr>
          <w:trHeight w:val="432"/>
        </w:trPr>
        <w:tc>
          <w:tcPr>
            <w:tcW w:w="1020" w:type="dxa"/>
            <w:vAlign w:val="bottom"/>
          </w:tcPr>
          <w:p>
            <w:pPr>
              <w:spacing w:after="0"/>
              <w:rPr>
                <w:sz w:val="24"/>
                <w:szCs w:val="24"/>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rPr>
              <w:t>For Keeneyes Future:</w:t>
            </w:r>
          </w:p>
        </w:tc>
      </w:tr>
      <w:tr>
        <w:trPr>
          <w:trHeight w:val="432"/>
        </w:trPr>
        <w:tc>
          <w:tcPr>
            <w:tcW w:w="1020" w:type="dxa"/>
            <w:vAlign w:val="bottom"/>
          </w:tcPr>
          <w:p>
            <w:pPr>
              <w:spacing w:after="0"/>
              <w:rPr>
                <w:sz w:val="24"/>
                <w:szCs w:val="24"/>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rPr>
              <w:t>P.O. Box 2075, George Town, Grand Cayman, KY1-1105, Cayman Islands</w:t>
            </w:r>
          </w:p>
        </w:tc>
      </w:tr>
      <w:tr>
        <w:trPr>
          <w:trHeight w:val="432"/>
        </w:trPr>
        <w:tc>
          <w:tcPr>
            <w:tcW w:w="1020" w:type="dxa"/>
            <w:vAlign w:val="bottom"/>
          </w:tcPr>
          <w:p>
            <w:pPr>
              <w:spacing w:after="0"/>
              <w:rPr>
                <w:sz w:val="24"/>
                <w:szCs w:val="24"/>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rPr>
              <w:t>For Yahui Zhou:</w:t>
            </w:r>
          </w:p>
        </w:tc>
      </w:tr>
      <w:tr>
        <w:trPr>
          <w:trHeight w:val="432"/>
        </w:trPr>
        <w:tc>
          <w:tcPr>
            <w:tcW w:w="1020" w:type="dxa"/>
            <w:vAlign w:val="bottom"/>
          </w:tcPr>
          <w:p>
            <w:pPr>
              <w:spacing w:after="0"/>
              <w:rPr>
                <w:sz w:val="24"/>
                <w:szCs w:val="24"/>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w w:val="96"/>
              </w:rPr>
              <w:t>10/F, 46 Xizongbu hutong, Mingyang International Center, Block B, Dongcheng District, Beijing 100005, People’s Republic of China</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Citizenship or Place of Organization:</w:t>
            </w:r>
          </w:p>
        </w:tc>
      </w:tr>
      <w:tr>
        <w:trPr>
          <w:trHeight w:val="432"/>
        </w:trPr>
        <w:tc>
          <w:tcPr>
            <w:tcW w:w="1020" w:type="dxa"/>
            <w:vAlign w:val="bottom"/>
          </w:tcPr>
          <w:p>
            <w:pPr>
              <w:spacing w:after="0"/>
              <w:rPr>
                <w:sz w:val="24"/>
                <w:szCs w:val="24"/>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rPr>
              <w:t>See Item 2(a).</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Title of Class of Securities:</w:t>
            </w:r>
          </w:p>
        </w:tc>
      </w:tr>
      <w:tr>
        <w:trPr>
          <w:trHeight w:val="432"/>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Ordinary shares of the Issuer, par value US$0.0001 per share</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CUSIP Number:</w:t>
            </w:r>
          </w:p>
        </w:tc>
      </w:tr>
      <w:tr>
        <w:trPr>
          <w:trHeight w:val="432"/>
        </w:trPr>
        <w:tc>
          <w:tcPr>
            <w:tcW w:w="1020" w:type="dxa"/>
            <w:vAlign w:val="bottom"/>
          </w:tcPr>
          <w:p>
            <w:pPr>
              <w:spacing w:after="0"/>
              <w:rPr>
                <w:sz w:val="24"/>
                <w:szCs w:val="24"/>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rPr>
              <w:t>68373M107 (American depositary shares of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Statement Filed Pursuant to Rule 13d-1(b), or 13d-2(b) or (c):</w:t>
            </w:r>
          </w:p>
        </w:tc>
      </w:tr>
      <w:tr>
        <w:trPr>
          <w:trHeight w:val="432"/>
        </w:trPr>
        <w:tc>
          <w:tcPr>
            <w:tcW w:w="1020" w:type="dxa"/>
            <w:vAlign w:val="bottom"/>
          </w:tcPr>
          <w:p>
            <w:pPr>
              <w:spacing w:after="0"/>
              <w:rPr>
                <w:sz w:val="24"/>
                <w:szCs w:val="24"/>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69"/>
        </w:trPr>
        <w:tc>
          <w:tcPr>
            <w:tcW w:w="1020" w:type="dxa"/>
            <w:vAlign w:val="bottom"/>
          </w:tcPr>
          <w:p>
            <w:pPr>
              <w:spacing w:after="0"/>
              <w:rPr>
                <w:sz w:val="24"/>
                <w:szCs w:val="24"/>
                <w:color w:val="auto"/>
              </w:rPr>
            </w:pPr>
          </w:p>
        </w:tc>
        <w:tc>
          <w:tcPr>
            <w:tcW w:w="10400" w:type="dxa"/>
            <w:vAlign w:val="bottom"/>
          </w:tcPr>
          <w:p>
            <w:pPr>
              <w:ind w:left="4640"/>
              <w:spacing w:after="0"/>
              <w:rPr>
                <w:sz w:val="20"/>
                <w:szCs w:val="20"/>
                <w:color w:val="auto"/>
              </w:rPr>
            </w:pPr>
            <w:r>
              <w:rPr>
                <w:rFonts w:ascii="Arial" w:cs="Arial" w:eastAsia="Arial" w:hAnsi="Arial"/>
                <w:sz w:val="22"/>
                <w:szCs w:val="22"/>
                <w:color w:val="auto"/>
              </w:rPr>
              <w:t>5</w:t>
            </w:r>
          </w:p>
        </w:tc>
      </w:tr>
      <w:tr>
        <w:trPr>
          <w:trHeight w:val="105"/>
        </w:trPr>
        <w:tc>
          <w:tcPr>
            <w:tcW w:w="1020" w:type="dxa"/>
            <w:vAlign w:val="bottom"/>
            <w:tcBorders>
              <w:bottom w:val="single" w:sz="8" w:color="auto"/>
            </w:tcBorders>
          </w:tcPr>
          <w:p>
            <w:pPr>
              <w:spacing w:after="0"/>
              <w:rPr>
                <w:sz w:val="9"/>
                <w:szCs w:val="9"/>
                <w:color w:val="auto"/>
              </w:rPr>
            </w:pPr>
          </w:p>
        </w:tc>
        <w:tc>
          <w:tcPr>
            <w:tcW w:w="1040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80" w:right="239" w:bottom="1440" w:gutter="0" w:footer="0" w:header="0"/>
          <w:type w:val="continuous"/>
        </w:sectPr>
      </w:pPr>
    </w:p>
    <w:bookmarkStart w:id="6" w:name="page7"/>
    <w:bookmarkEnd w:id="6"/>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640" w:right="80" w:firstLine="648"/>
        <w:spacing w:after="0" w:line="277" w:lineRule="auto"/>
        <w:rPr>
          <w:sz w:val="20"/>
          <w:szCs w:val="20"/>
          <w:color w:val="auto"/>
        </w:rPr>
      </w:pPr>
      <w:r>
        <w:rPr>
          <w:rFonts w:ascii="Arial" w:cs="Arial" w:eastAsia="Arial" w:hAnsi="Arial"/>
          <w:sz w:val="18"/>
          <w:szCs w:val="18"/>
          <w:color w:val="auto"/>
        </w:rPr>
        <w:t>The following table sets forth the beneficial ownership of the ordinary shares of the Issuer by each of the reporting persons as of the date of this filing:</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15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1820" w:type="dxa"/>
            <w:vAlign w:val="bottom"/>
            <w:tcBorders>
              <w:top w:val="single" w:sz="8" w:color="auto"/>
              <w:bottom w:val="single" w:sz="8" w:color="auto"/>
              <w:right w:val="single" w:sz="8" w:color="auto"/>
            </w:tcBorders>
          </w:tcPr>
          <w:p>
            <w:pPr>
              <w:spacing w:after="0"/>
              <w:rPr>
                <w:sz w:val="20"/>
                <w:szCs w:val="20"/>
                <w:color w:val="auto"/>
              </w:rPr>
            </w:pPr>
          </w:p>
        </w:tc>
        <w:tc>
          <w:tcPr>
            <w:tcW w:w="1480" w:type="dxa"/>
            <w:vAlign w:val="bottom"/>
            <w:tcBorders>
              <w:top w:val="single" w:sz="8" w:color="auto"/>
              <w:bottom w:val="single" w:sz="8" w:color="auto"/>
              <w:right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spacing w:after="0"/>
              <w:rPr>
                <w:sz w:val="20"/>
                <w:szCs w:val="20"/>
                <w:color w:val="auto"/>
              </w:rPr>
            </w:pPr>
          </w:p>
        </w:tc>
        <w:tc>
          <w:tcPr>
            <w:tcW w:w="5140" w:type="dxa"/>
            <w:vAlign w:val="bottom"/>
            <w:tcBorders>
              <w:top w:val="single" w:sz="8" w:color="auto"/>
              <w:bottom w:val="single" w:sz="8" w:color="auto"/>
              <w:right w:val="single" w:sz="8" w:color="auto"/>
            </w:tcBorders>
            <w:gridSpan w:val="4"/>
          </w:tcPr>
          <w:p>
            <w:pPr>
              <w:jc w:val="right"/>
              <w:ind w:right="1430"/>
              <w:spacing w:after="0"/>
              <w:rPr>
                <w:sz w:val="20"/>
                <w:szCs w:val="20"/>
                <w:color w:val="auto"/>
              </w:rPr>
            </w:pPr>
            <w:r>
              <w:rPr>
                <w:rFonts w:ascii="Arial" w:cs="Arial" w:eastAsia="Arial" w:hAnsi="Arial"/>
                <w:sz w:val="18"/>
                <w:szCs w:val="18"/>
                <w:b w:val="1"/>
                <w:bCs w:val="1"/>
                <w:color w:val="auto"/>
                <w:w w:val="87"/>
              </w:rPr>
              <w:t>Number of shares as to which such person has:</w:t>
            </w:r>
          </w:p>
        </w:tc>
        <w:tc>
          <w:tcPr>
            <w:tcW w:w="0" w:type="dxa"/>
            <w:vAlign w:val="bottom"/>
          </w:tcPr>
          <w:p>
            <w:pPr>
              <w:spacing w:after="0"/>
              <w:rPr>
                <w:sz w:val="1"/>
                <w:szCs w:val="1"/>
                <w:color w:val="auto"/>
              </w:rPr>
            </w:pPr>
          </w:p>
        </w:tc>
      </w:tr>
      <w:tr>
        <w:trPr>
          <w:trHeight w:val="191"/>
        </w:trPr>
        <w:tc>
          <w:tcPr>
            <w:tcW w:w="1520" w:type="dxa"/>
            <w:vAlign w:val="bottom"/>
            <w:tcBorders>
              <w:left w:val="single" w:sz="8" w:color="auto"/>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vMerge w:val="restart"/>
          </w:tcPr>
          <w:p>
            <w:pPr>
              <w:jc w:val="right"/>
              <w:ind w:right="271"/>
              <w:spacing w:after="0"/>
              <w:rPr>
                <w:sz w:val="20"/>
                <w:szCs w:val="20"/>
                <w:color w:val="auto"/>
              </w:rPr>
            </w:pPr>
            <w:r>
              <w:rPr>
                <w:rFonts w:ascii="Arial" w:cs="Arial" w:eastAsia="Arial" w:hAnsi="Arial"/>
                <w:sz w:val="18"/>
                <w:szCs w:val="18"/>
                <w:b w:val="1"/>
                <w:bCs w:val="1"/>
                <w:color w:val="auto"/>
              </w:rPr>
              <w:t>Percent of</w:t>
            </w: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Sole Power to</w:t>
            </w:r>
          </w:p>
        </w:tc>
        <w:tc>
          <w:tcPr>
            <w:tcW w:w="6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Sole Power to</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Shared Power to</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vMerge w:val="restart"/>
          </w:tcPr>
          <w:p>
            <w:pPr>
              <w:ind w:left="380"/>
              <w:spacing w:after="0"/>
              <w:rPr>
                <w:sz w:val="20"/>
                <w:szCs w:val="20"/>
                <w:color w:val="auto"/>
              </w:rPr>
            </w:pPr>
            <w:r>
              <w:rPr>
                <w:rFonts w:ascii="Arial" w:cs="Arial" w:eastAsia="Arial" w:hAnsi="Arial"/>
                <w:sz w:val="18"/>
                <w:szCs w:val="18"/>
                <w:b w:val="1"/>
                <w:bCs w:val="1"/>
                <w:color w:val="auto"/>
              </w:rPr>
              <w:t>Reporting</w:t>
            </w:r>
          </w:p>
        </w:tc>
        <w:tc>
          <w:tcPr>
            <w:tcW w:w="1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w w:val="95"/>
              </w:rPr>
              <w:t>Amount Beneficially</w:t>
            </w:r>
          </w:p>
        </w:tc>
        <w:tc>
          <w:tcPr>
            <w:tcW w:w="1480" w:type="dxa"/>
            <w:vAlign w:val="bottom"/>
            <w:tcBorders>
              <w:right w:val="single" w:sz="8" w:color="auto"/>
            </w:tcBorders>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18"/>
                <w:szCs w:val="18"/>
                <w:b w:val="1"/>
                <w:bCs w:val="1"/>
                <w:color w:val="auto"/>
                <w:w w:val="92"/>
              </w:rPr>
              <w:t>Shared Power to Vote</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Dispose or to</w:t>
            </w:r>
          </w:p>
        </w:tc>
        <w:tc>
          <w:tcPr>
            <w:tcW w:w="1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20" w:type="dxa"/>
            <w:vAlign w:val="bottom"/>
            <w:tcBorders>
              <w:left w:val="single" w:sz="8" w:color="auto"/>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1480" w:type="dxa"/>
            <w:vAlign w:val="bottom"/>
            <w:tcBorders>
              <w:right w:val="single" w:sz="8" w:color="auto"/>
            </w:tcBorders>
            <w:vMerge w:val="continue"/>
          </w:tcPr>
          <w:p>
            <w:pPr>
              <w:spacing w:after="0"/>
              <w:rPr>
                <w:sz w:val="7"/>
                <w:szCs w:val="7"/>
                <w:color w:val="auto"/>
              </w:rPr>
            </w:pPr>
          </w:p>
        </w:tc>
        <w:tc>
          <w:tcPr>
            <w:tcW w:w="1460" w:type="dxa"/>
            <w:vAlign w:val="bottom"/>
            <w:vMerge w:val="restart"/>
          </w:tcPr>
          <w:p>
            <w:pPr>
              <w:jc w:val="center"/>
              <w:spacing w:after="0" w:line="181" w:lineRule="exact"/>
              <w:rPr>
                <w:sz w:val="20"/>
                <w:szCs w:val="20"/>
                <w:color w:val="auto"/>
              </w:rPr>
            </w:pPr>
            <w:r>
              <w:rPr>
                <w:rFonts w:ascii="Arial" w:cs="Arial" w:eastAsia="Arial" w:hAnsi="Arial"/>
                <w:sz w:val="18"/>
                <w:szCs w:val="18"/>
                <w:b w:val="1"/>
                <w:bCs w:val="1"/>
                <w:color w:val="auto"/>
                <w:w w:val="90"/>
              </w:rPr>
              <w:t>Vote or Direct the</w:t>
            </w:r>
          </w:p>
        </w:tc>
        <w:tc>
          <w:tcPr>
            <w:tcW w:w="60" w:type="dxa"/>
            <w:vAlign w:val="bottom"/>
            <w:tcBorders>
              <w:right w:val="single" w:sz="8" w:color="auto"/>
            </w:tcBorders>
          </w:tcPr>
          <w:p>
            <w:pPr>
              <w:spacing w:after="0"/>
              <w:rPr>
                <w:sz w:val="7"/>
                <w:szCs w:val="7"/>
                <w:color w:val="auto"/>
              </w:rPr>
            </w:pPr>
          </w:p>
        </w:tc>
        <w:tc>
          <w:tcPr>
            <w:tcW w:w="1840" w:type="dxa"/>
            <w:vAlign w:val="bottom"/>
            <w:tcBorders>
              <w:right w:val="single" w:sz="8" w:color="auto"/>
            </w:tcBorders>
            <w:vMerge w:val="continue"/>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restart"/>
          </w:tcPr>
          <w:p>
            <w:pPr>
              <w:jc w:val="center"/>
              <w:spacing w:after="0" w:line="181" w:lineRule="exact"/>
              <w:rPr>
                <w:sz w:val="20"/>
                <w:szCs w:val="20"/>
                <w:color w:val="auto"/>
              </w:rPr>
            </w:pPr>
            <w:r>
              <w:rPr>
                <w:rFonts w:ascii="Arial" w:cs="Arial" w:eastAsia="Arial" w:hAnsi="Arial"/>
                <w:sz w:val="18"/>
                <w:szCs w:val="18"/>
                <w:b w:val="1"/>
                <w:bCs w:val="1"/>
                <w:color w:val="auto"/>
                <w:w w:val="88"/>
              </w:rPr>
              <w:t>Dispose or to Direct</w:t>
            </w:r>
          </w:p>
        </w:tc>
        <w:tc>
          <w:tcPr>
            <w:tcW w:w="0" w:type="dxa"/>
            <w:vAlign w:val="bottom"/>
          </w:tcPr>
          <w:p>
            <w:pPr>
              <w:spacing w:after="0"/>
              <w:rPr>
                <w:sz w:val="1"/>
                <w:szCs w:val="1"/>
                <w:color w:val="auto"/>
              </w:rPr>
            </w:pPr>
          </w:p>
        </w:tc>
      </w:tr>
      <w:tr>
        <w:trPr>
          <w:trHeight w:val="96"/>
        </w:trPr>
        <w:tc>
          <w:tcPr>
            <w:tcW w:w="1520" w:type="dxa"/>
            <w:vAlign w:val="bottom"/>
            <w:tcBorders>
              <w:left w:val="single" w:sz="8" w:color="auto"/>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restart"/>
          </w:tcPr>
          <w:p>
            <w:pPr>
              <w:jc w:val="right"/>
              <w:ind w:right="371"/>
              <w:spacing w:after="0" w:line="240" w:lineRule="exact"/>
              <w:rPr>
                <w:sz w:val="20"/>
                <w:szCs w:val="20"/>
                <w:color w:val="auto"/>
              </w:rPr>
            </w:pPr>
            <w:r>
              <w:rPr>
                <w:rFonts w:ascii="Arial" w:cs="Arial" w:eastAsia="Arial" w:hAnsi="Arial"/>
                <w:sz w:val="17"/>
                <w:szCs w:val="17"/>
                <w:b w:val="1"/>
                <w:bCs w:val="1"/>
                <w:color w:val="auto"/>
              </w:rPr>
              <w:t>Class</w:t>
            </w:r>
            <w:r>
              <w:rPr>
                <w:rFonts w:ascii="Arial" w:cs="Arial" w:eastAsia="Arial" w:hAnsi="Arial"/>
                <w:sz w:val="27"/>
                <w:szCs w:val="27"/>
                <w:b w:val="1"/>
                <w:bCs w:val="1"/>
                <w:color w:val="auto"/>
                <w:vertAlign w:val="superscript"/>
              </w:rPr>
              <w:t>(1)</w:t>
            </w:r>
          </w:p>
        </w:tc>
        <w:tc>
          <w:tcPr>
            <w:tcW w:w="1460" w:type="dxa"/>
            <w:vAlign w:val="bottom"/>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520" w:type="dxa"/>
            <w:vAlign w:val="bottom"/>
            <w:tcBorders>
              <w:left w:val="single" w:sz="8" w:color="auto"/>
              <w:right w:val="single" w:sz="8" w:color="auto"/>
            </w:tcBorders>
          </w:tcPr>
          <w:p>
            <w:pPr>
              <w:ind w:left="500"/>
              <w:spacing w:after="0" w:line="144" w:lineRule="exact"/>
              <w:rPr>
                <w:sz w:val="20"/>
                <w:szCs w:val="20"/>
                <w:color w:val="auto"/>
              </w:rPr>
            </w:pPr>
            <w:r>
              <w:rPr>
                <w:rFonts w:ascii="Arial" w:cs="Arial" w:eastAsia="Arial" w:hAnsi="Arial"/>
                <w:sz w:val="16"/>
                <w:szCs w:val="16"/>
                <w:b w:val="1"/>
                <w:bCs w:val="1"/>
                <w:color w:val="auto"/>
              </w:rPr>
              <w:t>Person</w:t>
            </w:r>
          </w:p>
        </w:tc>
        <w:tc>
          <w:tcPr>
            <w:tcW w:w="1820" w:type="dxa"/>
            <w:vAlign w:val="bottom"/>
            <w:tcBorders>
              <w:right w:val="single" w:sz="8" w:color="auto"/>
            </w:tcBorders>
          </w:tcPr>
          <w:p>
            <w:pPr>
              <w:ind w:left="620"/>
              <w:spacing w:after="0" w:line="144" w:lineRule="exact"/>
              <w:rPr>
                <w:sz w:val="20"/>
                <w:szCs w:val="20"/>
                <w:color w:val="auto"/>
              </w:rPr>
            </w:pPr>
            <w:r>
              <w:rPr>
                <w:rFonts w:ascii="Arial" w:cs="Arial" w:eastAsia="Arial" w:hAnsi="Arial"/>
                <w:sz w:val="16"/>
                <w:szCs w:val="16"/>
                <w:b w:val="1"/>
                <w:bCs w:val="1"/>
                <w:color w:val="auto"/>
              </w:rPr>
              <w:t>Owned</w:t>
            </w:r>
          </w:p>
        </w:tc>
        <w:tc>
          <w:tcPr>
            <w:tcW w:w="1480" w:type="dxa"/>
            <w:vAlign w:val="bottom"/>
            <w:tcBorders>
              <w:right w:val="single" w:sz="8" w:color="auto"/>
            </w:tcBorders>
            <w:vMerge w:val="continue"/>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Vote</w:t>
            </w:r>
          </w:p>
        </w:tc>
        <w:tc>
          <w:tcPr>
            <w:tcW w:w="6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right"/>
              <w:ind w:right="52"/>
              <w:spacing w:after="0" w:line="144" w:lineRule="exact"/>
              <w:rPr>
                <w:sz w:val="20"/>
                <w:szCs w:val="20"/>
                <w:color w:val="auto"/>
              </w:rPr>
            </w:pPr>
            <w:r>
              <w:rPr>
                <w:rFonts w:ascii="Arial" w:cs="Arial" w:eastAsia="Arial" w:hAnsi="Arial"/>
                <w:sz w:val="16"/>
                <w:szCs w:val="16"/>
                <w:b w:val="1"/>
                <w:bCs w:val="1"/>
                <w:color w:val="auto"/>
              </w:rPr>
              <w:t>or to Direct the Vote</w:t>
            </w:r>
          </w:p>
        </w:tc>
        <w:tc>
          <w:tcPr>
            <w:tcW w:w="152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6"/>
                <w:szCs w:val="16"/>
                <w:b w:val="1"/>
                <w:bCs w:val="1"/>
                <w:color w:val="auto"/>
              </w:rPr>
              <w:t>Direct the</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the Disposition of</w:t>
            </w:r>
          </w:p>
        </w:tc>
        <w:tc>
          <w:tcPr>
            <w:tcW w:w="0" w:type="dxa"/>
            <w:vAlign w:val="bottom"/>
          </w:tcPr>
          <w:p>
            <w:pPr>
              <w:spacing w:after="0"/>
              <w:rPr>
                <w:sz w:val="1"/>
                <w:szCs w:val="1"/>
                <w:color w:val="auto"/>
              </w:rPr>
            </w:pPr>
          </w:p>
        </w:tc>
      </w:tr>
      <w:tr>
        <w:trPr>
          <w:trHeight w:val="126"/>
        </w:trPr>
        <w:tc>
          <w:tcPr>
            <w:tcW w:w="152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460" w:type="dxa"/>
            <w:vAlign w:val="bottom"/>
            <w:vMerge w:val="continue"/>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Disposition of</w:t>
            </w:r>
          </w:p>
        </w:tc>
        <w:tc>
          <w:tcPr>
            <w:tcW w:w="1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vMerge w:val="continue"/>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Kunlun Tech</w:t>
            </w:r>
          </w:p>
        </w:tc>
        <w:tc>
          <w:tcPr>
            <w:tcW w:w="1820" w:type="dxa"/>
            <w:vAlign w:val="bottom"/>
            <w:tcBorders>
              <w:bottom w:val="single" w:sz="8" w:color="auto"/>
              <w:right w:val="single" w:sz="8" w:color="auto"/>
            </w:tcBorders>
          </w:tcPr>
          <w:p>
            <w:pPr>
              <w:ind w:left="20"/>
              <w:spacing w:after="0" w:line="251" w:lineRule="exact"/>
              <w:rPr>
                <w:sz w:val="20"/>
                <w:szCs w:val="20"/>
                <w:color w:val="auto"/>
              </w:rPr>
            </w:pPr>
            <w:r>
              <w:rPr>
                <w:rFonts w:ascii="Arial" w:cs="Arial" w:eastAsia="Arial" w:hAnsi="Arial"/>
                <w:sz w:val="18"/>
                <w:szCs w:val="18"/>
                <w:color w:val="auto"/>
              </w:rPr>
              <w:t>96,000,000</w:t>
            </w:r>
            <w:r>
              <w:rPr>
                <w:rFonts w:ascii="Arial" w:cs="Arial" w:eastAsia="Arial" w:hAnsi="Arial"/>
                <w:sz w:val="29"/>
                <w:szCs w:val="29"/>
                <w:color w:val="auto"/>
                <w:vertAlign w:val="superscript"/>
              </w:rPr>
              <w:t>(2)</w:t>
            </w:r>
          </w:p>
        </w:tc>
        <w:tc>
          <w:tcPr>
            <w:tcW w:w="1480" w:type="dxa"/>
            <w:vAlign w:val="bottom"/>
            <w:tcBorders>
              <w:bottom w:val="single" w:sz="8" w:color="auto"/>
              <w:right w:val="single" w:sz="8" w:color="auto"/>
            </w:tcBorders>
          </w:tcPr>
          <w:p>
            <w:pPr>
              <w:jc w:val="right"/>
              <w:ind w:right="931"/>
              <w:spacing w:after="0"/>
              <w:rPr>
                <w:sz w:val="20"/>
                <w:szCs w:val="20"/>
                <w:color w:val="auto"/>
              </w:rPr>
            </w:pPr>
            <w:r>
              <w:rPr>
                <w:rFonts w:ascii="Arial" w:cs="Arial" w:eastAsia="Arial" w:hAnsi="Arial"/>
                <w:sz w:val="18"/>
                <w:szCs w:val="18"/>
                <w:color w:val="auto"/>
                <w:w w:val="86"/>
              </w:rPr>
              <w:t>43.6%</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96,000,000</w:t>
            </w:r>
          </w:p>
        </w:tc>
        <w:tc>
          <w:tcPr>
            <w:tcW w:w="60" w:type="dxa"/>
            <w:vAlign w:val="bottom"/>
            <w:tcBorders>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jc w:val="right"/>
              <w:ind w:right="1652"/>
              <w:spacing w:after="0"/>
              <w:rPr>
                <w:sz w:val="20"/>
                <w:szCs w:val="20"/>
                <w:color w:val="auto"/>
              </w:rPr>
            </w:pPr>
            <w:r>
              <w:rPr>
                <w:rFonts w:ascii="Arial" w:cs="Arial" w:eastAsia="Arial" w:hAnsi="Arial"/>
                <w:sz w:val="18"/>
                <w:szCs w:val="18"/>
                <w:color w:val="auto"/>
                <w:w w:val="79"/>
              </w:rPr>
              <w:t>0</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96,000,000</w:t>
            </w:r>
          </w:p>
        </w:tc>
        <w:tc>
          <w:tcPr>
            <w:tcW w:w="1720" w:type="dxa"/>
            <w:vAlign w:val="bottom"/>
            <w:tcBorders>
              <w:bottom w:val="single" w:sz="8" w:color="auto"/>
              <w:right w:val="single" w:sz="8" w:color="auto"/>
            </w:tcBorders>
          </w:tcPr>
          <w:p>
            <w:pPr>
              <w:jc w:val="right"/>
              <w:ind w:right="1530"/>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196"/>
        </w:trPr>
        <w:tc>
          <w:tcPr>
            <w:tcW w:w="1520" w:type="dxa"/>
            <w:vAlign w:val="bottom"/>
            <w:tcBorders>
              <w:left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Beijing Kunlun</w:t>
            </w:r>
          </w:p>
        </w:tc>
        <w:tc>
          <w:tcPr>
            <w:tcW w:w="1820" w:type="dxa"/>
            <w:vAlign w:val="bottom"/>
            <w:tcBorders>
              <w:right w:val="single" w:sz="8" w:color="auto"/>
            </w:tcBorders>
          </w:tcPr>
          <w:p>
            <w:pPr>
              <w:ind w:left="20"/>
              <w:spacing w:after="0" w:line="197" w:lineRule="exact"/>
              <w:rPr>
                <w:sz w:val="20"/>
                <w:szCs w:val="20"/>
                <w:color w:val="auto"/>
              </w:rPr>
            </w:pPr>
            <w:r>
              <w:rPr>
                <w:rFonts w:ascii="Arial" w:cs="Arial" w:eastAsia="Arial" w:hAnsi="Arial"/>
                <w:sz w:val="14"/>
                <w:szCs w:val="14"/>
                <w:color w:val="auto"/>
              </w:rPr>
              <w:t>96,000,000</w:t>
            </w:r>
            <w:r>
              <w:rPr>
                <w:rFonts w:ascii="Arial" w:cs="Arial" w:eastAsia="Arial" w:hAnsi="Arial"/>
                <w:sz w:val="22"/>
                <w:szCs w:val="22"/>
                <w:color w:val="auto"/>
                <w:vertAlign w:val="superscript"/>
              </w:rPr>
              <w:t>(2)</w:t>
            </w:r>
          </w:p>
        </w:tc>
        <w:tc>
          <w:tcPr>
            <w:tcW w:w="1480" w:type="dxa"/>
            <w:vAlign w:val="bottom"/>
            <w:tcBorders>
              <w:right w:val="single" w:sz="8" w:color="auto"/>
            </w:tcBorders>
          </w:tcPr>
          <w:p>
            <w:pPr>
              <w:jc w:val="right"/>
              <w:ind w:right="931"/>
              <w:spacing w:after="0" w:line="196" w:lineRule="exact"/>
              <w:rPr>
                <w:sz w:val="20"/>
                <w:szCs w:val="20"/>
                <w:color w:val="auto"/>
              </w:rPr>
            </w:pPr>
            <w:r>
              <w:rPr>
                <w:rFonts w:ascii="Arial" w:cs="Arial" w:eastAsia="Arial" w:hAnsi="Arial"/>
                <w:sz w:val="18"/>
                <w:szCs w:val="18"/>
                <w:color w:val="auto"/>
                <w:w w:val="86"/>
              </w:rPr>
              <w:t>43.6%</w:t>
            </w:r>
          </w:p>
        </w:tc>
        <w:tc>
          <w:tcPr>
            <w:tcW w:w="1460" w:type="dxa"/>
            <w:vAlign w:val="bottom"/>
          </w:tcPr>
          <w:p>
            <w:pPr>
              <w:spacing w:after="0" w:line="196" w:lineRule="exact"/>
              <w:rPr>
                <w:sz w:val="20"/>
                <w:szCs w:val="20"/>
                <w:color w:val="auto"/>
              </w:rPr>
            </w:pPr>
            <w:r>
              <w:rPr>
                <w:rFonts w:ascii="Arial" w:cs="Arial" w:eastAsia="Arial" w:hAnsi="Arial"/>
                <w:sz w:val="18"/>
                <w:szCs w:val="18"/>
                <w:color w:val="auto"/>
              </w:rPr>
              <w:t>96,000,000</w:t>
            </w:r>
          </w:p>
        </w:tc>
        <w:tc>
          <w:tcPr>
            <w:tcW w:w="6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jc w:val="right"/>
              <w:ind w:right="1652"/>
              <w:spacing w:after="0" w:line="196" w:lineRule="exact"/>
              <w:rPr>
                <w:sz w:val="20"/>
                <w:szCs w:val="20"/>
                <w:color w:val="auto"/>
              </w:rPr>
            </w:pPr>
            <w:r>
              <w:rPr>
                <w:rFonts w:ascii="Arial" w:cs="Arial" w:eastAsia="Arial" w:hAnsi="Arial"/>
                <w:sz w:val="18"/>
                <w:szCs w:val="18"/>
                <w:color w:val="auto"/>
                <w:w w:val="79"/>
              </w:rPr>
              <w:t>0</w:t>
            </w:r>
          </w:p>
        </w:tc>
        <w:tc>
          <w:tcPr>
            <w:tcW w:w="152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96,000,000</w:t>
            </w:r>
          </w:p>
        </w:tc>
        <w:tc>
          <w:tcPr>
            <w:tcW w:w="1720" w:type="dxa"/>
            <w:vAlign w:val="bottom"/>
            <w:tcBorders>
              <w:right w:val="single" w:sz="8" w:color="auto"/>
            </w:tcBorders>
          </w:tcPr>
          <w:p>
            <w:pPr>
              <w:jc w:val="right"/>
              <w:ind w:right="1530"/>
              <w:spacing w:after="0" w:line="196" w:lineRule="exact"/>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30"/>
        </w:trPr>
        <w:tc>
          <w:tcPr>
            <w:tcW w:w="1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Tech</w:t>
            </w:r>
          </w:p>
        </w:tc>
        <w:tc>
          <w:tcPr>
            <w:tcW w:w="182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Keeneyes Future</w:t>
            </w:r>
          </w:p>
        </w:tc>
        <w:tc>
          <w:tcPr>
            <w:tcW w:w="1820" w:type="dxa"/>
            <w:vAlign w:val="bottom"/>
            <w:tcBorders>
              <w:bottom w:val="single" w:sz="8" w:color="auto"/>
              <w:right w:val="single" w:sz="8" w:color="auto"/>
            </w:tcBorders>
          </w:tcPr>
          <w:p>
            <w:pPr>
              <w:ind w:left="20"/>
              <w:spacing w:after="0" w:line="250" w:lineRule="exact"/>
              <w:rPr>
                <w:sz w:val="20"/>
                <w:szCs w:val="20"/>
                <w:color w:val="auto"/>
              </w:rPr>
            </w:pPr>
            <w:r>
              <w:rPr>
                <w:rFonts w:ascii="Arial" w:cs="Arial" w:eastAsia="Arial" w:hAnsi="Arial"/>
                <w:sz w:val="17"/>
                <w:szCs w:val="17"/>
                <w:color w:val="auto"/>
              </w:rPr>
              <w:t>39,000,000</w:t>
            </w:r>
            <w:r>
              <w:rPr>
                <w:rFonts w:ascii="Arial" w:cs="Arial" w:eastAsia="Arial" w:hAnsi="Arial"/>
                <w:sz w:val="28"/>
                <w:szCs w:val="28"/>
                <w:color w:val="auto"/>
                <w:vertAlign w:val="superscript"/>
              </w:rPr>
              <w:t>(3)</w:t>
            </w:r>
          </w:p>
        </w:tc>
        <w:tc>
          <w:tcPr>
            <w:tcW w:w="1480" w:type="dxa"/>
            <w:vAlign w:val="bottom"/>
            <w:tcBorders>
              <w:bottom w:val="single" w:sz="8" w:color="auto"/>
              <w:right w:val="single" w:sz="8" w:color="auto"/>
            </w:tcBorders>
          </w:tcPr>
          <w:p>
            <w:pPr>
              <w:jc w:val="right"/>
              <w:ind w:right="931"/>
              <w:spacing w:after="0"/>
              <w:rPr>
                <w:sz w:val="20"/>
                <w:szCs w:val="20"/>
                <w:color w:val="auto"/>
              </w:rPr>
            </w:pPr>
            <w:r>
              <w:rPr>
                <w:rFonts w:ascii="Arial" w:cs="Arial" w:eastAsia="Arial" w:hAnsi="Arial"/>
                <w:sz w:val="18"/>
                <w:szCs w:val="18"/>
                <w:color w:val="auto"/>
                <w:w w:val="86"/>
              </w:rPr>
              <w:t>17.7%</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39,000,000</w:t>
            </w:r>
          </w:p>
        </w:tc>
        <w:tc>
          <w:tcPr>
            <w:tcW w:w="60" w:type="dxa"/>
            <w:vAlign w:val="bottom"/>
            <w:tcBorders>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jc w:val="right"/>
              <w:ind w:right="1652"/>
              <w:spacing w:after="0"/>
              <w:rPr>
                <w:sz w:val="20"/>
                <w:szCs w:val="20"/>
                <w:color w:val="auto"/>
              </w:rPr>
            </w:pPr>
            <w:r>
              <w:rPr>
                <w:rFonts w:ascii="Arial" w:cs="Arial" w:eastAsia="Arial" w:hAnsi="Arial"/>
                <w:sz w:val="18"/>
                <w:szCs w:val="18"/>
                <w:color w:val="auto"/>
                <w:w w:val="79"/>
              </w:rPr>
              <w:t>0</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39,000,000</w:t>
            </w:r>
          </w:p>
        </w:tc>
        <w:tc>
          <w:tcPr>
            <w:tcW w:w="1720" w:type="dxa"/>
            <w:vAlign w:val="bottom"/>
            <w:tcBorders>
              <w:bottom w:val="single" w:sz="8" w:color="auto"/>
              <w:right w:val="single" w:sz="8" w:color="auto"/>
            </w:tcBorders>
          </w:tcPr>
          <w:p>
            <w:pPr>
              <w:jc w:val="right"/>
              <w:ind w:right="1530"/>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47"/>
        </w:trPr>
        <w:tc>
          <w:tcPr>
            <w:tcW w:w="1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Yahui Zhou</w:t>
            </w:r>
          </w:p>
        </w:tc>
        <w:tc>
          <w:tcPr>
            <w:tcW w:w="1820" w:type="dxa"/>
            <w:vAlign w:val="bottom"/>
            <w:tcBorders>
              <w:bottom w:val="single" w:sz="8" w:color="auto"/>
              <w:right w:val="single" w:sz="8" w:color="auto"/>
            </w:tcBorders>
          </w:tcPr>
          <w:p>
            <w:pPr>
              <w:ind w:left="20"/>
              <w:spacing w:after="0" w:line="246" w:lineRule="exact"/>
              <w:rPr>
                <w:sz w:val="20"/>
                <w:szCs w:val="20"/>
                <w:color w:val="auto"/>
              </w:rPr>
            </w:pPr>
            <w:r>
              <w:rPr>
                <w:rFonts w:ascii="Arial" w:cs="Arial" w:eastAsia="Arial" w:hAnsi="Arial"/>
                <w:sz w:val="17"/>
                <w:szCs w:val="17"/>
                <w:color w:val="auto"/>
              </w:rPr>
              <w:t>135,000,000</w:t>
            </w:r>
            <w:r>
              <w:rPr>
                <w:rFonts w:ascii="Arial" w:cs="Arial" w:eastAsia="Arial" w:hAnsi="Arial"/>
                <w:sz w:val="28"/>
                <w:szCs w:val="28"/>
                <w:color w:val="auto"/>
                <w:vertAlign w:val="superscript"/>
              </w:rPr>
              <w:t>(4)</w:t>
            </w:r>
          </w:p>
        </w:tc>
        <w:tc>
          <w:tcPr>
            <w:tcW w:w="1480" w:type="dxa"/>
            <w:vAlign w:val="bottom"/>
            <w:tcBorders>
              <w:bottom w:val="single" w:sz="8" w:color="auto"/>
              <w:right w:val="single" w:sz="8" w:color="auto"/>
            </w:tcBorders>
          </w:tcPr>
          <w:p>
            <w:pPr>
              <w:jc w:val="right"/>
              <w:ind w:right="931"/>
              <w:spacing w:after="0"/>
              <w:rPr>
                <w:sz w:val="20"/>
                <w:szCs w:val="20"/>
                <w:color w:val="auto"/>
              </w:rPr>
            </w:pPr>
            <w:r>
              <w:rPr>
                <w:rFonts w:ascii="Arial" w:cs="Arial" w:eastAsia="Arial" w:hAnsi="Arial"/>
                <w:sz w:val="18"/>
                <w:szCs w:val="18"/>
                <w:color w:val="auto"/>
                <w:w w:val="86"/>
              </w:rPr>
              <w:t>61.3%</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135,000,000</w:t>
            </w:r>
          </w:p>
        </w:tc>
        <w:tc>
          <w:tcPr>
            <w:tcW w:w="60" w:type="dxa"/>
            <w:vAlign w:val="bottom"/>
            <w:tcBorders>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jc w:val="right"/>
              <w:ind w:right="1652"/>
              <w:spacing w:after="0"/>
              <w:rPr>
                <w:sz w:val="20"/>
                <w:szCs w:val="20"/>
                <w:color w:val="auto"/>
              </w:rPr>
            </w:pPr>
            <w:r>
              <w:rPr>
                <w:rFonts w:ascii="Arial" w:cs="Arial" w:eastAsia="Arial" w:hAnsi="Arial"/>
                <w:sz w:val="18"/>
                <w:szCs w:val="18"/>
                <w:color w:val="auto"/>
                <w:w w:val="79"/>
              </w:rPr>
              <w:t>0</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135,000,000</w:t>
            </w:r>
          </w:p>
        </w:tc>
        <w:tc>
          <w:tcPr>
            <w:tcW w:w="1720" w:type="dxa"/>
            <w:vAlign w:val="bottom"/>
            <w:tcBorders>
              <w:bottom w:val="single" w:sz="8" w:color="auto"/>
              <w:right w:val="single" w:sz="8" w:color="auto"/>
            </w:tcBorders>
          </w:tcPr>
          <w:p>
            <w:pPr>
              <w:jc w:val="right"/>
              <w:ind w:right="1530"/>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272415</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hanging="204"/>
        <w:spacing w:after="0"/>
        <w:tabs>
          <w:tab w:leader="none" w:pos="86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As a percentage of 220,119,343 ordinary shares of the Issuer as of the date of this filing.</w:t>
      </w:r>
    </w:p>
    <w:p>
      <w:pPr>
        <w:spacing w:after="0" w:line="185" w:lineRule="exact"/>
        <w:rPr>
          <w:rFonts w:ascii="Arial" w:cs="Arial" w:eastAsia="Arial" w:hAnsi="Arial"/>
          <w:sz w:val="25"/>
          <w:szCs w:val="25"/>
          <w:color w:val="auto"/>
          <w:vertAlign w:val="superscript"/>
        </w:rPr>
      </w:pPr>
    </w:p>
    <w:p>
      <w:pPr>
        <w:ind w:left="860" w:hanging="204"/>
        <w:spacing w:after="0"/>
        <w:tabs>
          <w:tab w:leader="none" w:pos="86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Represents 96,000,000 ordinary shares of the Issuer directly held by Kunlun Tech, which is wholly owned by Beijing Kunlun Tech.</w:t>
      </w:r>
    </w:p>
    <w:p>
      <w:pPr>
        <w:spacing w:after="0" w:line="173" w:lineRule="exact"/>
        <w:rPr>
          <w:rFonts w:ascii="Arial" w:cs="Arial" w:eastAsia="Arial" w:hAnsi="Arial"/>
          <w:sz w:val="25"/>
          <w:szCs w:val="25"/>
          <w:color w:val="auto"/>
          <w:vertAlign w:val="superscript"/>
        </w:rPr>
      </w:pPr>
    </w:p>
    <w:p>
      <w:pPr>
        <w:ind w:left="860" w:hanging="213"/>
        <w:spacing w:after="0"/>
        <w:tabs>
          <w:tab w:leader="none" w:pos="86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Represents 39,000,000 ordinary shares of the Issuer directly held by Keeneyes Future, which is wholly owned by Yahui Zhou.</w:t>
      </w:r>
    </w:p>
    <w:p>
      <w:pPr>
        <w:spacing w:after="0" w:line="242" w:lineRule="exact"/>
        <w:rPr>
          <w:rFonts w:ascii="Arial" w:cs="Arial" w:eastAsia="Arial" w:hAnsi="Arial"/>
          <w:sz w:val="26"/>
          <w:szCs w:val="26"/>
          <w:color w:val="auto"/>
          <w:vertAlign w:val="superscript"/>
        </w:rPr>
      </w:pPr>
    </w:p>
    <w:p>
      <w:pPr>
        <w:ind w:left="640" w:right="40" w:firstLine="7"/>
        <w:spacing w:after="0" w:line="264" w:lineRule="auto"/>
        <w:tabs>
          <w:tab w:leader="none" w:pos="86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Represents (i) 96,000,000 ordinary shares directly held by Kunlun Tech, which is wholly owned by Beijing Kunlun Tech, in which Yahui Zhou is the beneficial owner of 33.8% of the equity interest, and (ii) 39,000,000 ordinary shares held by Keeneyes Future, which is wholly owned by Mr. Zhou. Mr. Zhou beneficially owns 33.8% of the equity interest of Beijing Kunlun Tech and serves as its chairman of the board of directors. Mr. Zhou directly holds 16.4% of the equity interest of Beijing Kunlun Tech and indirectly holds 17.4% through Xinyu Yingrui Century Software R&amp;D Center L.P., a limited partnership established in the People’s Republic of China (“Xinyu Yingrui”), which is co-owned by Mr. Zhou and his ex-wife. Mr. Zhou, holds 54.8% of the equity interest of Xinyu Yingrui and, as the general partner, has sole decision making authority in terms of how the partnership exercises its ownership rights in Beijing Kunlun Tech.</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right="7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jc w:val="center"/>
        <w:ind w:right="77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ind w:right="-29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2019</w:t>
      </w: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Kunlun Tech Limited</w:t>
      </w:r>
    </w:p>
    <w:p>
      <w:pPr>
        <w:spacing w:after="0" w:line="229" w:lineRule="exact"/>
        <w:rPr>
          <w:sz w:val="20"/>
          <w:szCs w:val="20"/>
          <w:color w:val="auto"/>
        </w:rPr>
      </w:pPr>
    </w:p>
    <w:p>
      <w:pPr>
        <w:ind w:left="5520"/>
        <w:spacing w:after="0"/>
        <w:tabs>
          <w:tab w:leader="none" w:pos="5980" w:val="left"/>
        </w:tabs>
        <w:rPr>
          <w:sz w:val="20"/>
          <w:szCs w:val="20"/>
          <w:color w:val="auto"/>
        </w:rPr>
      </w:pPr>
      <w:r>
        <w:rPr>
          <w:rFonts w:ascii="Arial" w:cs="Arial" w:eastAsia="Arial" w:hAnsi="Arial"/>
          <w:sz w:val="18"/>
          <w:szCs w:val="18"/>
          <w:color w:val="auto"/>
        </w:rPr>
        <w:t>By:</w:t>
        <w:tab/>
        <w:t>/s/ Yahui Zhou</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-130810</wp:posOffset>
            </wp:positionV>
            <wp:extent cx="25126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Beijing Kunlun Tech Co., Ltd.</w:t>
      </w:r>
    </w:p>
    <w:p>
      <w:pPr>
        <w:spacing w:after="0" w:line="229" w:lineRule="exact"/>
        <w:rPr>
          <w:sz w:val="20"/>
          <w:szCs w:val="20"/>
          <w:color w:val="auto"/>
        </w:rPr>
      </w:pPr>
    </w:p>
    <w:p>
      <w:pPr>
        <w:ind w:left="5520"/>
        <w:spacing w:after="0"/>
        <w:tabs>
          <w:tab w:leader="none" w:pos="5980" w:val="left"/>
        </w:tabs>
        <w:rPr>
          <w:sz w:val="20"/>
          <w:szCs w:val="20"/>
          <w:color w:val="auto"/>
        </w:rPr>
      </w:pPr>
      <w:r>
        <w:rPr>
          <w:rFonts w:ascii="Arial" w:cs="Arial" w:eastAsia="Arial" w:hAnsi="Arial"/>
          <w:sz w:val="18"/>
          <w:szCs w:val="18"/>
          <w:color w:val="auto"/>
        </w:rPr>
        <w:t>By:</w:t>
        <w:tab/>
        <w:t>/s/ Yahui Zhou</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-130810</wp:posOffset>
            </wp:positionV>
            <wp:extent cx="25126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Chairman</w:t>
      </w:r>
    </w:p>
    <w:p>
      <w:pPr>
        <w:spacing w:after="0" w:line="207"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Keeneyes Future Holding Inc.</w:t>
      </w:r>
    </w:p>
    <w:p>
      <w:pPr>
        <w:spacing w:after="0" w:line="229" w:lineRule="exact"/>
        <w:rPr>
          <w:sz w:val="20"/>
          <w:szCs w:val="20"/>
          <w:color w:val="auto"/>
        </w:rPr>
      </w:pPr>
    </w:p>
    <w:p>
      <w:pPr>
        <w:ind w:left="5520"/>
        <w:spacing w:after="0"/>
        <w:tabs>
          <w:tab w:leader="none" w:pos="5980" w:val="left"/>
        </w:tabs>
        <w:rPr>
          <w:sz w:val="20"/>
          <w:szCs w:val="20"/>
          <w:color w:val="auto"/>
        </w:rPr>
      </w:pPr>
      <w:r>
        <w:rPr>
          <w:rFonts w:ascii="Arial" w:cs="Arial" w:eastAsia="Arial" w:hAnsi="Arial"/>
          <w:sz w:val="18"/>
          <w:szCs w:val="18"/>
          <w:color w:val="auto"/>
        </w:rPr>
        <w:t>By:</w:t>
        <w:tab/>
        <w:t>/s/ Yahui Zhou</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-130810</wp:posOffset>
            </wp:positionV>
            <wp:extent cx="25126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Yahui Zhou</w:t>
      </w:r>
    </w:p>
    <w:p>
      <w:pPr>
        <w:spacing w:after="0" w:line="229" w:lineRule="exact"/>
        <w:rPr>
          <w:sz w:val="20"/>
          <w:szCs w:val="20"/>
          <w:color w:val="auto"/>
        </w:rPr>
      </w:pPr>
    </w:p>
    <w:p>
      <w:pPr>
        <w:ind w:left="5520"/>
        <w:spacing w:after="0"/>
        <w:tabs>
          <w:tab w:leader="none" w:pos="5980" w:val="left"/>
        </w:tabs>
        <w:rPr>
          <w:sz w:val="20"/>
          <w:szCs w:val="20"/>
          <w:color w:val="auto"/>
        </w:rPr>
      </w:pPr>
      <w:r>
        <w:rPr>
          <w:rFonts w:ascii="Arial" w:cs="Arial" w:eastAsia="Arial" w:hAnsi="Arial"/>
          <w:sz w:val="18"/>
          <w:szCs w:val="18"/>
          <w:color w:val="auto"/>
        </w:rPr>
        <w:t>By:</w:t>
        <w:tab/>
        <w:t>/s/ Yahui Zhou</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-130810</wp:posOffset>
            </wp:positionV>
            <wp:extent cx="25126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126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240" w:top="584" w:right="5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8520" w:type="dxa"/>
            <w:vAlign w:val="bottom"/>
            <w:gridSpan w:val="3"/>
          </w:tcPr>
          <w:p>
            <w:pPr>
              <w:ind w:left="2000"/>
              <w:spacing w:after="0"/>
              <w:rPr>
                <w:sz w:val="20"/>
                <w:szCs w:val="20"/>
                <w:color w:val="auto"/>
              </w:rPr>
            </w:pPr>
            <w:r>
              <w:rPr>
                <w:rFonts w:ascii="Arial" w:cs="Arial" w:eastAsia="Arial" w:hAnsi="Arial"/>
                <w:sz w:val="18"/>
                <w:szCs w:val="18"/>
                <w:b w:val="1"/>
                <w:bCs w:val="1"/>
                <w:color w:val="auto"/>
              </w:rPr>
              <w:t>LIST OF EXHIBITS</w:t>
            </w:r>
          </w:p>
        </w:tc>
      </w:tr>
      <w:tr>
        <w:trPr>
          <w:trHeight w:val="432"/>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7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2900" w:type="dxa"/>
            <w:vAlign w:val="bottom"/>
          </w:tcPr>
          <w:p>
            <w:pPr>
              <w:spacing w:after="0"/>
              <w:rPr>
                <w:sz w:val="20"/>
                <w:szCs w:val="20"/>
                <w:color w:val="auto"/>
              </w:rPr>
            </w:pPr>
            <w:r>
              <w:rPr>
                <w:rFonts w:ascii="Arial" w:cs="Arial" w:eastAsia="Arial" w:hAnsi="Arial"/>
                <w:sz w:val="18"/>
                <w:szCs w:val="18"/>
                <w:color w:val="auto"/>
              </w:rPr>
              <w:t>99.1</w:t>
            </w: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Joint Filing Agreement</w:t>
            </w:r>
          </w:p>
        </w:tc>
      </w:tr>
    </w:tbl>
    <w:p>
      <w:pPr>
        <w:sectPr>
          <w:pgSz w:w="11900" w:h="16838" w:orient="portrait"/>
          <w:cols w:equalWidth="0" w:num="1">
            <w:col w:w="11420"/>
          </w:cols>
          <w:pgMar w:left="240" w:top="580"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00" w:lineRule="exact"/>
        <w:rPr>
          <w:sz w:val="20"/>
          <w:szCs w:val="20"/>
          <w:color w:val="auto"/>
        </w:rPr>
      </w:pPr>
    </w:p>
    <w:p>
      <w:pPr>
        <w:spacing w:after="0" w:line="24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ordinary shares, par value $0.0001 per share, of Opera Limited, a Cayman Islands company, and that this Agreement may be included as an Exhibit to such joint filing. This Agreement may be executed in any number of counterparts, all of which taken together shall constitute one and the same instrument.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has been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923925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ind w:left="45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hereby execute this Agreement as of February 14, 2019.</w:t>
      </w:r>
    </w:p>
    <w:p>
      <w:pPr>
        <w:spacing w:after="0" w:line="200" w:lineRule="exact"/>
        <w:rPr>
          <w:sz w:val="20"/>
          <w:szCs w:val="20"/>
          <w:color w:val="auto"/>
        </w:rPr>
      </w:pPr>
    </w:p>
    <w:p>
      <w:pPr>
        <w:spacing w:after="0" w:line="26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Kunlun Tech Limited</w:t>
      </w:r>
    </w:p>
    <w:p>
      <w:pPr>
        <w:spacing w:after="0" w:line="229" w:lineRule="exact"/>
        <w:rPr>
          <w:sz w:val="20"/>
          <w:szCs w:val="20"/>
          <w:color w:val="auto"/>
        </w:rPr>
      </w:pPr>
    </w:p>
    <w:p>
      <w:pPr>
        <w:ind w:left="4860"/>
        <w:spacing w:after="0"/>
        <w:tabs>
          <w:tab w:leader="none" w:pos="5320" w:val="left"/>
        </w:tabs>
        <w:rPr>
          <w:sz w:val="20"/>
          <w:szCs w:val="20"/>
          <w:color w:val="auto"/>
        </w:rPr>
      </w:pPr>
      <w:r>
        <w:rPr>
          <w:rFonts w:ascii="Arial" w:cs="Arial" w:eastAsia="Arial" w:hAnsi="Arial"/>
          <w:sz w:val="18"/>
          <w:szCs w:val="18"/>
          <w:color w:val="auto"/>
        </w:rPr>
        <w:t>By:</w:t>
        <w:tab/>
        <w:t>/s/ Yahui Zhou</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3393440</wp:posOffset>
            </wp:positionH>
            <wp:positionV relativeFrom="paragraph">
              <wp:posOffset>-130810</wp:posOffset>
            </wp:positionV>
            <wp:extent cx="25126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Beijing Kunlun Tech Co., Ltd.</w:t>
      </w:r>
    </w:p>
    <w:p>
      <w:pPr>
        <w:spacing w:after="0" w:line="241" w:lineRule="exact"/>
        <w:rPr>
          <w:sz w:val="20"/>
          <w:szCs w:val="20"/>
          <w:color w:val="auto"/>
        </w:rPr>
      </w:pPr>
    </w:p>
    <w:p>
      <w:pPr>
        <w:ind w:left="4860"/>
        <w:spacing w:after="0"/>
        <w:tabs>
          <w:tab w:leader="none" w:pos="5320" w:val="left"/>
        </w:tabs>
        <w:rPr>
          <w:sz w:val="20"/>
          <w:szCs w:val="20"/>
          <w:color w:val="auto"/>
        </w:rPr>
      </w:pPr>
      <w:r>
        <w:rPr>
          <w:rFonts w:ascii="Arial" w:cs="Arial" w:eastAsia="Arial" w:hAnsi="Arial"/>
          <w:sz w:val="18"/>
          <w:szCs w:val="18"/>
          <w:color w:val="auto"/>
        </w:rPr>
        <w:t>By:</w:t>
        <w:tab/>
        <w:t>/s/ Yahui Zhou</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3393440</wp:posOffset>
            </wp:positionH>
            <wp:positionV relativeFrom="paragraph">
              <wp:posOffset>-130810</wp:posOffset>
            </wp:positionV>
            <wp:extent cx="25126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Chairman</w:t>
      </w:r>
    </w:p>
    <w:p>
      <w:pPr>
        <w:spacing w:after="0" w:line="207"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Keeneyes Future Holding Inc.</w:t>
      </w:r>
    </w:p>
    <w:p>
      <w:pPr>
        <w:spacing w:after="0" w:line="252" w:lineRule="exact"/>
        <w:rPr>
          <w:sz w:val="20"/>
          <w:szCs w:val="20"/>
          <w:color w:val="auto"/>
        </w:rPr>
      </w:pPr>
    </w:p>
    <w:p>
      <w:pPr>
        <w:ind w:left="4860"/>
        <w:spacing w:after="0"/>
        <w:tabs>
          <w:tab w:leader="none" w:pos="5320" w:val="left"/>
        </w:tabs>
        <w:rPr>
          <w:sz w:val="20"/>
          <w:szCs w:val="20"/>
          <w:color w:val="auto"/>
        </w:rPr>
      </w:pPr>
      <w:r>
        <w:rPr>
          <w:rFonts w:ascii="Arial" w:cs="Arial" w:eastAsia="Arial" w:hAnsi="Arial"/>
          <w:sz w:val="18"/>
          <w:szCs w:val="18"/>
          <w:color w:val="auto"/>
        </w:rPr>
        <w:t>By:</w:t>
        <w:tab/>
        <w:t>/s/ Yahui Zhou</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3393440</wp:posOffset>
            </wp:positionH>
            <wp:positionV relativeFrom="paragraph">
              <wp:posOffset>-130810</wp:posOffset>
            </wp:positionV>
            <wp:extent cx="25126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Yahui Zhou</w:t>
      </w:r>
    </w:p>
    <w:p>
      <w:pPr>
        <w:spacing w:after="0" w:line="229" w:lineRule="exact"/>
        <w:rPr>
          <w:sz w:val="20"/>
          <w:szCs w:val="20"/>
          <w:color w:val="auto"/>
        </w:rPr>
      </w:pPr>
    </w:p>
    <w:p>
      <w:pPr>
        <w:ind w:left="4860"/>
        <w:spacing w:after="0"/>
        <w:tabs>
          <w:tab w:leader="none" w:pos="5320" w:val="left"/>
        </w:tabs>
        <w:rPr>
          <w:sz w:val="20"/>
          <w:szCs w:val="20"/>
          <w:color w:val="auto"/>
        </w:rPr>
      </w:pPr>
      <w:r>
        <w:rPr>
          <w:rFonts w:ascii="Arial" w:cs="Arial" w:eastAsia="Arial" w:hAnsi="Arial"/>
          <w:sz w:val="18"/>
          <w:szCs w:val="18"/>
          <w:color w:val="auto"/>
        </w:rPr>
        <w:t>By:</w:t>
        <w:tab/>
        <w:t>/s/ Yahui Zhou</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3393440</wp:posOffset>
            </wp:positionH>
            <wp:positionV relativeFrom="paragraph">
              <wp:posOffset>-130810</wp:posOffset>
            </wp:positionV>
            <wp:extent cx="25126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[Signature Page to Joint Filing Agreement, Schedule 13G]</w:t>
      </w:r>
    </w:p>
    <w:sectPr>
      <w:pgSz w:w="11900" w:h="16838" w:orient="portrait"/>
      <w:cols w:equalWidth="0" w:num="1">
        <w:col w:w="9559"/>
      </w:cols>
      <w:pgMar w:left="900" w:top="5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2019-12-21T04:07:15Z</dcterms:created>
  <dcterms:modified xsi:type="dcterms:W3CDTF">2019-12-21T04:07:15Z</dcterms:modified>
</cp:coreProperties>
</file>