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Arial" w:cs="Arial" w:eastAsia="Arial" w:hAnsi="Arial"/>
          <w:sz w:val="18"/>
          <w:szCs w:val="18"/>
          <w:b w:val="1"/>
          <w:bCs w:val="1"/>
          <w:color w:val="auto"/>
        </w:rPr>
        <w:t>As filed with the Securities and Exchange Commission on July 14,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4"/>
          <w:szCs w:val="24"/>
          <w:color w:val="auto"/>
        </w:rPr>
      </w:pPr>
    </w:p>
    <w:p>
      <w:pPr>
        <w:jc w:val="center"/>
        <w:ind w:right="80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8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2" w:lineRule="exact"/>
        <w:rPr>
          <w:sz w:val="24"/>
          <w:szCs w:val="24"/>
          <w:color w:val="auto"/>
        </w:rPr>
      </w:pPr>
    </w:p>
    <w:p>
      <w:pPr>
        <w:ind w:left="3740"/>
        <w:spacing w:after="0"/>
        <w:rPr>
          <w:sz w:val="20"/>
          <w:szCs w:val="20"/>
          <w:color w:val="auto"/>
        </w:rPr>
      </w:pPr>
      <w:r>
        <w:rPr>
          <w:rFonts w:ascii="Arial" w:cs="Arial" w:eastAsia="Arial" w:hAnsi="Arial"/>
          <w:sz w:val="32"/>
          <w:szCs w:val="32"/>
          <w:b w:val="1"/>
          <w:bCs w:val="1"/>
          <w:color w:val="auto"/>
        </w:rPr>
        <w:t>FORM F-3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161290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142875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1" w:lineRule="exact"/>
        <w:rPr>
          <w:sz w:val="24"/>
          <w:szCs w:val="24"/>
          <w:color w:val="auto"/>
        </w:rPr>
      </w:pPr>
    </w:p>
    <w:p>
      <w:pPr>
        <w:jc w:val="center"/>
        <w:ind w:right="800"/>
        <w:spacing w:after="0"/>
        <w:rPr>
          <w:sz w:val="20"/>
          <w:szCs w:val="20"/>
          <w:color w:val="auto"/>
        </w:rPr>
      </w:pPr>
      <w:r>
        <w:rPr>
          <w:rFonts w:ascii="Arial" w:cs="Arial" w:eastAsia="Arial" w:hAnsi="Arial"/>
          <w:sz w:val="43"/>
          <w:szCs w:val="43"/>
          <w:b w:val="1"/>
          <w:bCs w:val="1"/>
          <w:color w:val="auto"/>
        </w:rPr>
        <w:t>Opera Limited</w:t>
      </w:r>
    </w:p>
    <w:p>
      <w:pPr>
        <w:spacing w:after="0" w:line="50"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141605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(Translation of registrant</w:t>
      </w:r>
      <w:r>
        <w:rPr>
          <w:rFonts w:ascii="Arial" w:cs="Arial" w:eastAsia="Arial" w:hAnsi="Arial"/>
          <w:sz w:val="18"/>
          <w:szCs w:val="18"/>
          <w:color w:val="auto"/>
        </w:rPr>
        <w:t>’</w:t>
      </w:r>
      <w:r>
        <w:rPr>
          <w:rFonts w:ascii="Arial" w:cs="Arial" w:eastAsia="Arial" w:hAnsi="Arial"/>
          <w:sz w:val="18"/>
          <w:szCs w:val="18"/>
          <w:b w:val="1"/>
          <w:bCs w:val="1"/>
          <w:color w:val="auto"/>
        </w:rPr>
        <w:t>s name into English)</w:t>
      </w:r>
    </w:p>
    <w:p>
      <w:pPr>
        <w:sectPr>
          <w:pgSz w:w="11900" w:h="16838" w:orient="portrait"/>
          <w:cols w:equalWidth="0" w:num="1">
            <w:col w:w="9800"/>
          </w:cols>
          <w:pgMar w:left="1440" w:top="445" w:right="659" w:bottom="1440" w:gutter="0" w:footer="0" w:header="0"/>
        </w:sectPr>
      </w:pPr>
    </w:p>
    <w:p>
      <w:pPr>
        <w:spacing w:after="0" w:line="207"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3380"/>
          </w:cols>
          <w:pgMar w:left="1440" w:top="445" w:right="659" w:bottom="1440" w:gutter="0" w:footer="0" w:header="0"/>
          <w:type w:val="continuous"/>
        </w:sectPr>
      </w:pP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Vitaminveien 4, 0484 Oslo, Norway</w:t>
      </w:r>
    </w:p>
    <w:p>
      <w:pPr>
        <w:spacing w:after="0" w:line="50"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+47 2369-2400</w:t>
      </w:r>
    </w:p>
    <w:p>
      <w:pPr>
        <w:sectPr>
          <w:pgSz w:w="11900" w:h="16838" w:orient="portrait"/>
          <w:cols w:equalWidth="0" w:num="1">
            <w:col w:w="9800"/>
          </w:cols>
          <w:pgMar w:left="1440" w:top="445" w:right="659" w:bottom="1440" w:gutter="0" w:footer="0" w:header="0"/>
          <w:type w:val="continuous"/>
        </w:sectPr>
      </w:pPr>
    </w:p>
    <w:p>
      <w:pPr>
        <w:spacing w:after="0" w:line="20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(Address and telephone number of registrant</w:t>
      </w:r>
      <w:r>
        <w:rPr>
          <w:rFonts w:ascii="Arial" w:cs="Arial" w:eastAsia="Arial" w:hAnsi="Arial"/>
          <w:sz w:val="16"/>
          <w:szCs w:val="16"/>
          <w:color w:val="auto"/>
        </w:rPr>
        <w:t>’</w:t>
      </w:r>
      <w:r>
        <w:rPr>
          <w:rFonts w:ascii="Arial" w:cs="Arial" w:eastAsia="Arial" w:hAnsi="Arial"/>
          <w:sz w:val="16"/>
          <w:szCs w:val="16"/>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168910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New York, NY 100168</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USA</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+1 800 221-0102</w:t>
      </w:r>
    </w:p>
    <w:p>
      <w:pPr>
        <w:spacing w:after="0" w:line="207" w:lineRule="exact"/>
        <w:rPr>
          <w:sz w:val="24"/>
          <w:szCs w:val="24"/>
          <w:color w:val="auto"/>
        </w:rPr>
      </w:pPr>
    </w:p>
    <w:p>
      <w:pPr>
        <w:ind w:left="2220"/>
        <w:spacing w:after="0"/>
        <w:rPr>
          <w:sz w:val="20"/>
          <w:szCs w:val="20"/>
          <w:color w:val="auto"/>
        </w:rPr>
      </w:pPr>
      <w:r>
        <w:rPr>
          <w:rFonts w:ascii="Arial" w:cs="Arial" w:eastAsia="Arial" w:hAnsi="Arial"/>
          <w:sz w:val="17"/>
          <w:szCs w:val="17"/>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161925</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Liang Tao, Esq.</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Milbank LLP</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c/o 30/F, Alexandra House</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18 Chater Road, Central, Hong Kong</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+852 2971-4868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142875</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511810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0"/>
          </w:cols>
          <w:pgMar w:left="1440" w:top="445" w:right="659" w:bottom="144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only securities being registered on this Form are being offered pursuant to dividend or interest reinvestment plans, please check the following</w:t>
      </w:r>
    </w:p>
    <w:p>
      <w:pPr>
        <w:spacing w:after="0" w:line="4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216" w:lineRule="exact"/>
        <w:rPr>
          <w:sz w:val="20"/>
          <w:szCs w:val="20"/>
          <w:color w:val="auto"/>
        </w:rPr>
      </w:pPr>
    </w:p>
    <w:p>
      <w:pPr>
        <w:ind w:right="180" w:firstLine="648"/>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4" w:lineRule="exact"/>
        <w:rPr>
          <w:sz w:val="20"/>
          <w:szCs w:val="20"/>
          <w:color w:val="auto"/>
        </w:rPr>
      </w:pPr>
    </w:p>
    <w:p>
      <w:pPr>
        <w:ind w:right="300" w:firstLine="648"/>
        <w:spacing w:after="0" w:line="238"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4" w:lineRule="exact"/>
        <w:rPr>
          <w:sz w:val="20"/>
          <w:szCs w:val="20"/>
          <w:color w:val="auto"/>
        </w:rPr>
      </w:pPr>
    </w:p>
    <w:p>
      <w:pPr>
        <w:ind w:right="200" w:firstLine="648"/>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0"/>
          <w:szCs w:val="20"/>
          <w:color w:val="auto"/>
        </w:rPr>
      </w:pPr>
    </w:p>
    <w:p>
      <w:pPr>
        <w:ind w:right="80" w:firstLine="648"/>
        <w:spacing w:after="0" w:line="237"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5" w:lineRule="exact"/>
        <w:rPr>
          <w:sz w:val="20"/>
          <w:szCs w:val="20"/>
          <w:color w:val="auto"/>
        </w:rPr>
      </w:pPr>
    </w:p>
    <w:p>
      <w:pPr>
        <w:ind w:right="720" w:firstLine="648"/>
        <w:spacing w:after="0" w:line="238"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8"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1" w:lineRule="exact"/>
        <w:rPr>
          <w:sz w:val="20"/>
          <w:szCs w:val="20"/>
          <w:color w:val="auto"/>
        </w:rPr>
      </w:pPr>
    </w:p>
    <w:p>
      <w:pPr>
        <w:ind w:left="300" w:hanging="292"/>
        <w:spacing w:after="0" w:line="207" w:lineRule="exact"/>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of the Securities Act </w:t>
      </w:r>
      <w:r>
        <w:rPr>
          <w:rFonts w:ascii="MS PGothic" w:cs="MS PGothic" w:eastAsia="MS PGothic" w:hAnsi="MS PGothic"/>
          <w:sz w:val="18"/>
          <w:szCs w:val="18"/>
          <w:color w:val="auto"/>
        </w:rPr>
        <w:t>☐</w:t>
      </w:r>
    </w:p>
    <w:p>
      <w:pPr>
        <w:spacing w:after="0" w:line="215" w:lineRule="exact"/>
        <w:rPr>
          <w:rFonts w:ascii="Arial" w:cs="Arial" w:eastAsia="Arial" w:hAnsi="Arial"/>
          <w:sz w:val="18"/>
          <w:szCs w:val="18"/>
          <w:color w:val="auto"/>
        </w:rPr>
      </w:pPr>
    </w:p>
    <w:p>
      <w:pPr>
        <w:ind w:right="680" w:firstLine="656"/>
        <w:spacing w:after="0" w:line="277" w:lineRule="auto"/>
        <w:tabs>
          <w:tab w:leader="none" w:pos="7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117475</wp:posOffset>
            </wp:positionV>
            <wp:extent cx="1062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0000"/>
        </w:rPr>
        <w:t>Subject to Completion, dated July 14,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Opera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167640</wp:posOffset>
            </wp:positionV>
            <wp:extent cx="1071880" cy="1482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88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 to US$300,000,000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Up to 141,773,298 Ordinary Shares or Equivalent ADSs Offered by the Selling Securityholders</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may offer and sell from time to time ordinary shares, including ordinary shares represented by American depositary shares or ADSs (each representing two ordinary shares, par value US$0.0001 per share as of the date of this prospectus), preferred shares, debt securities and warrants of Opera Limited in any combination from time to time in one or more offerings, at prices and on terms described in one or more supplements to this prospectus. The securities offered by us in this prospectus will have an aggregate offering price of up to US$300,000,000. The preferred shares, debt securities and warrants may be convertible into or exercisable or exchangeable for our ordinary shares or other securities.</w:t>
      </w:r>
    </w:p>
    <w:p>
      <w:pPr>
        <w:spacing w:after="0" w:line="17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In addition, selling securityholders named in this prospectus may from time to time, offer and sell up to 141,773,298 of our ordinary shares or equivalent ADSs in one or more offerings. We will not receive any proceeds from the sale of our securities by the selling securityholders, but we may pay certain registration and offering fees and expenses associated with the registration and sale of those securities. See “Selling Securityholders.”</w:t>
      </w:r>
    </w:p>
    <w:p>
      <w:pPr>
        <w:spacing w:after="0" w:line="14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This prospectus provides a general description of the securities we or the selling securityholders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carefully read this prospectus, the applicable prospectus supplement, and any related free writing prospectus, as well as the documents incorporated or deemed to be incorporated by reference, before you invest in any of our securities. </w:t>
      </w:r>
      <w:r>
        <w:rPr>
          <w:rFonts w:ascii="Arial" w:cs="Arial" w:eastAsia="Arial" w:hAnsi="Arial"/>
          <w:sz w:val="17"/>
          <w:szCs w:val="17"/>
          <w:b w:val="1"/>
          <w:bCs w:val="1"/>
          <w:color w:val="auto"/>
        </w:rPr>
        <w:t>This prospectus may not be used to offer</w:t>
      </w:r>
      <w:r>
        <w:rPr>
          <w:rFonts w:ascii="Arial" w:cs="Arial" w:eastAsia="Arial" w:hAnsi="Arial"/>
          <w:sz w:val="17"/>
          <w:szCs w:val="17"/>
          <w:color w:val="auto"/>
        </w:rPr>
        <w:t xml:space="preserve"> </w:t>
      </w:r>
      <w:r>
        <w:rPr>
          <w:rFonts w:ascii="Arial" w:cs="Arial" w:eastAsia="Arial" w:hAnsi="Arial"/>
          <w:sz w:val="17"/>
          <w:szCs w:val="17"/>
          <w:b w:val="1"/>
          <w:bCs w:val="1"/>
          <w:color w:val="auto"/>
        </w:rPr>
        <w:t>or sell any securities unless accompanied by the applicable prospectus supplement.</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or the selling securityholders may sell the securities independently or together with any other securities registered hereunder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ADSs are listed on the Nasdaq Global Select Market under the symbol “OPRA.” On July 12, 2023, the closing price for our ADSs on Nasdaq was $25.44 per ADS.</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July 12, 2023, the aggregate market value of the voting and non-voting common equity held by non-affiliates, computed by reference to the closing price for our ADSs on Nasdaq on July 12, 2023 at $12.72 per share, was approximately $484.0 million, based on 179,826,936 outstanding ordinary shares as of such date, of which 38,053,638 ordinary shares were held by non-affiliates. Pursuant to General Instruction I.B.5 of Form F-3, in no event will we sell securities registered on this registration statement of which any prospectus supplement forms a part in a public primary offering with a value exceeding one-third of our outstanding voting and non-voting common equity held by non-affiliates (the “public float”) in any 12-month period so long as our public float remains below $75.0 million. During the 12 calendar months prior to and including the date of this prospectus, we have not sold any securities pursuant to General Instruction I.B.5 of Form F-3.</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We are a </w:t>
      </w:r>
      <w:r>
        <w:rPr>
          <w:rFonts w:ascii="Arial" w:cs="Arial" w:eastAsia="Arial" w:hAnsi="Arial"/>
          <w:sz w:val="17"/>
          <w:szCs w:val="17"/>
          <w:color w:val="auto"/>
        </w:rPr>
        <w:t>“</w:t>
      </w:r>
      <w:r>
        <w:rPr>
          <w:rFonts w:ascii="Arial" w:cs="Arial" w:eastAsia="Arial" w:hAnsi="Arial"/>
          <w:sz w:val="17"/>
          <w:szCs w:val="17"/>
          <w:b w:val="1"/>
          <w:bCs w:val="1"/>
          <w:color w:val="auto"/>
        </w:rPr>
        <w:t>controlled company</w:t>
      </w:r>
      <w:r>
        <w:rPr>
          <w:rFonts w:ascii="Arial" w:cs="Arial" w:eastAsia="Arial" w:hAnsi="Arial"/>
          <w:sz w:val="17"/>
          <w:szCs w:val="17"/>
          <w:color w:val="auto"/>
        </w:rPr>
        <w:t>”</w:t>
      </w:r>
      <w:r>
        <w:rPr>
          <w:rFonts w:ascii="Arial" w:cs="Arial" w:eastAsia="Arial" w:hAnsi="Arial"/>
          <w:sz w:val="17"/>
          <w:szCs w:val="17"/>
          <w:b w:val="1"/>
          <w:bCs w:val="1"/>
          <w:color w:val="auto"/>
        </w:rPr>
        <w:t xml:space="preserve"> as defined under the Nasdaq Stock Market Rules. Kunlun Tech Co., Ltd., our principal shareholder, holds more than 50% of the shareholder voting power of our outstanding share capital, and can exert substantial influence over matters such as electing directors and approving material mergers, acquisitions, strategic collaborations or other business combination transactions. For so long as we remain a controlled company as defined under that rule, we are exempt from, and our shareholders generally are not provided with the benefits of, some of the Nasdaq Stock Market corporate governance requirements, including the requirement that a majority of our directors be independent, as defined in the Nasdaq rules, and the requirement that our compensation and corporate governance and nominating committees consist entirely of independent directors.</w:t>
      </w:r>
    </w:p>
    <w:p>
      <w:pPr>
        <w:sectPr>
          <w:pgSz w:w="11900" w:h="16838" w:orient="portrait"/>
          <w:cols w:equalWidth="0" w:num="1">
            <w:col w:w="11220"/>
          </w:cols>
          <w:pgMar w:left="320" w:top="580" w:right="359" w:bottom="0" w:gutter="0" w:footer="0" w:header="0"/>
        </w:sectPr>
      </w:pPr>
    </w:p>
    <w:bookmarkStart w:id="3" w:name="page4"/>
    <w:bookmarkEnd w:id="3"/>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We are a </w:t>
      </w:r>
      <w:r>
        <w:rPr>
          <w:rFonts w:ascii="Arial" w:cs="Arial" w:eastAsia="Arial" w:hAnsi="Arial"/>
          <w:sz w:val="18"/>
          <w:szCs w:val="18"/>
          <w:color w:val="auto"/>
        </w:rPr>
        <w:t>“</w:t>
      </w:r>
      <w:r>
        <w:rPr>
          <w:rFonts w:ascii="Arial" w:cs="Arial" w:eastAsia="Arial" w:hAnsi="Arial"/>
          <w:sz w:val="18"/>
          <w:szCs w:val="18"/>
          <w:b w:val="1"/>
          <w:bCs w:val="1"/>
          <w:color w:val="auto"/>
        </w:rPr>
        <w:t>foreign private issuer</w:t>
      </w:r>
      <w:r>
        <w:rPr>
          <w:rFonts w:ascii="Arial" w:cs="Arial" w:eastAsia="Arial" w:hAnsi="Arial"/>
          <w:sz w:val="18"/>
          <w:szCs w:val="18"/>
          <w:color w:val="auto"/>
        </w:rPr>
        <w:t>”</w:t>
      </w:r>
      <w:r>
        <w:rPr>
          <w:rFonts w:ascii="Arial" w:cs="Arial" w:eastAsia="Arial" w:hAnsi="Arial"/>
          <w:sz w:val="18"/>
          <w:szCs w:val="18"/>
          <w:b w:val="1"/>
          <w:bCs w:val="1"/>
          <w:color w:val="auto"/>
        </w:rPr>
        <w:t xml:space="preserve"> and we are currently an </w:t>
      </w:r>
      <w:r>
        <w:rPr>
          <w:rFonts w:ascii="Arial" w:cs="Arial" w:eastAsia="Arial" w:hAnsi="Arial"/>
          <w:sz w:val="18"/>
          <w:szCs w:val="18"/>
          <w:color w:val="auto"/>
        </w:rPr>
        <w:t>“</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r>
        <w:rPr>
          <w:rFonts w:ascii="Arial" w:cs="Arial" w:eastAsia="Arial" w:hAnsi="Arial"/>
          <w:sz w:val="18"/>
          <w:szCs w:val="18"/>
          <w:b w:val="1"/>
          <w:bCs w:val="1"/>
          <w:color w:val="auto"/>
        </w:rPr>
        <w:t xml:space="preserve"> under applicable U.S. federal securities laws and are eligible for reduced public company reporting requirements. Subject to any other conditions as prescribed in the Jumpstart Our Business Startups Act of 2012 or the JOBS Act, we will no longer be an </w:t>
      </w:r>
      <w:r>
        <w:rPr>
          <w:rFonts w:ascii="Arial" w:cs="Arial" w:eastAsia="Arial" w:hAnsi="Arial"/>
          <w:sz w:val="18"/>
          <w:szCs w:val="18"/>
          <w:color w:val="auto"/>
        </w:rPr>
        <w:t>“</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r>
        <w:rPr>
          <w:rFonts w:ascii="Arial" w:cs="Arial" w:eastAsia="Arial" w:hAnsi="Arial"/>
          <w:sz w:val="18"/>
          <w:szCs w:val="18"/>
          <w:b w:val="1"/>
          <w:bCs w:val="1"/>
          <w:color w:val="auto"/>
        </w:rPr>
        <w:t xml:space="preserve"> as defined in the JOBS Act effect from the last day of the fiscal year ending December 31, 2023.</w:t>
      </w:r>
    </w:p>
    <w:p>
      <w:pPr>
        <w:spacing w:after="0" w:line="180"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Investing in our securities involves risks. See the </w:t>
      </w:r>
      <w:r>
        <w:rPr>
          <w:rFonts w:ascii="Arial" w:cs="Arial" w:eastAsia="Arial" w:hAnsi="Arial"/>
          <w:sz w:val="18"/>
          <w:szCs w:val="18"/>
          <w:color w:val="auto"/>
        </w:rPr>
        <w:t>“</w:t>
      </w:r>
      <w:r>
        <w:rPr>
          <w:rFonts w:ascii="Arial" w:cs="Arial" w:eastAsia="Arial" w:hAnsi="Arial"/>
          <w:sz w:val="18"/>
          <w:szCs w:val="18"/>
          <w:b w:val="1"/>
          <w:bCs w:val="1"/>
          <w:color w:val="auto"/>
        </w:rPr>
        <w:t>Risk Factors</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contained in the applicable prospectus supplement, any related free writing prospectus and the documents we incorporate by reference in this prospectus to read about factors you should consider before investing in our securities.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4100"/>
              <w:spacing w:after="0"/>
              <w:rPr>
                <w:sz w:val="20"/>
                <w:szCs w:val="20"/>
                <w:color w:val="auto"/>
              </w:rPr>
            </w:pPr>
            <w:r>
              <w:rPr>
                <w:rFonts w:ascii="Arial" w:cs="Arial" w:eastAsia="Arial" w:hAnsi="Arial"/>
                <w:sz w:val="18"/>
                <w:szCs w:val="18"/>
                <w:color w:val="auto"/>
                <w:w w:val="99"/>
              </w:rPr>
              <w:t>The date of this prospectus is</w:t>
            </w:r>
          </w:p>
        </w:tc>
        <w:tc>
          <w:tcPr>
            <w:tcW w:w="4780" w:type="dxa"/>
            <w:vAlign w:val="bottom"/>
          </w:tcPr>
          <w:p>
            <w:pPr>
              <w:jc w:val="right"/>
              <w:ind w:right="4010"/>
              <w:spacing w:after="0"/>
              <w:rPr>
                <w:sz w:val="20"/>
                <w:szCs w:val="20"/>
                <w:color w:val="auto"/>
              </w:rPr>
            </w:pPr>
            <w:r>
              <w:rPr>
                <w:rFonts w:ascii="Arial" w:cs="Arial" w:eastAsia="Arial" w:hAnsi="Arial"/>
                <w:sz w:val="18"/>
                <w:szCs w:val="18"/>
                <w:color w:val="auto"/>
              </w:rPr>
              <w:t>, 2023</w:t>
            </w:r>
          </w:p>
        </w:tc>
      </w:tr>
      <w:tr>
        <w:trPr>
          <w:trHeight w:val="574"/>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 ABOUT US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DOCUMENTS BY REFERENCE</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OUR COMPANY</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OFFER STATISTICS AND EXPECTED TIMETABLE</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THE SECURITIES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SHARE CAPITAL</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ORDINARY SHARES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AMERICAN DEPOSITARY SHARES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PREFERRED SHARES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SELLING SECURITYHOLDER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574"/>
        </w:trPr>
        <w:tc>
          <w:tcPr>
            <w:tcW w:w="8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“ADSs” refer to American depositary shares, each of which represents two ordinary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or “ordinary shares” refer to our ordinary shares, par value US$0.0001 per share;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 and</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“our company,” “the Group,” “our group,” “our” or “Opera” refers to Opera Limited, an exempt company incorporated under the laws of the Cayman Islands with limited liability that is the holding company of our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prospectus is part of a registration statement on Form F-3 that we filed with the U.S. Securities and Exchange Commission, or the SEC, using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“shelf” registration process permitted under the Securities Act of 1933, as amended, or the Securities Act. By using a shelf registration statement, we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sell our shares, debt securities and warrants or any combination of any of the foregoing having an aggregate initial offering price of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US$300,000,000 from time to time in one or more offerings and the selling securityholders referred to in this prospectus and identified in supplements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may sell up to an aggregate amount of 141,773,298 ordinary shares or equivalent ADSs in one or more offerings on a continuous or delayed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This prospectus only provides you with a summary description of these securities. Each time we sell the securities, we will provide a supplement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that contains specific information about the securities being offered and the specific terms of that offering. The supplement may also add,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update or change information contained in this prospectus. If there is any inconsistency between the information in this prospectus and any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you should rely on the prospectus supplement. Before purchasing any of the securities, you should carefully read both this prospectus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together with the additional information described under the heading “Where You Can Find More Information About Us” and “Incorporation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Documents by Reference.”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among other things, the rules of the Exchange Act prescribing the furnishing and content of proxy statements to shareholders, and Section 16 short swing profit reporting for our officers and directors and for holders of more than 10% of our ordinary shares. All information filed with the SEC can be obtained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16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This prospectus and any prospectus supplement are part of a registration statement we have filed with the SEC. This prospectus and any prospectus supplement omit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6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www.opera.com</w:t>
      </w:r>
      <w:r>
        <w:rPr>
          <w:rFonts w:ascii="Arial" w:cs="Arial" w:eastAsia="Arial" w:hAnsi="Arial"/>
          <w:sz w:val="18"/>
          <w:szCs w:val="18"/>
          <w:color w:val="auto"/>
        </w:rPr>
        <w:t>. The information on our website, however, is not, and should not be deemed to be, a part of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25" w:lineRule="exact"/>
        <w:rPr>
          <w:sz w:val="20"/>
          <w:szCs w:val="20"/>
          <w:color w:val="auto"/>
        </w:rPr>
      </w:pPr>
    </w:p>
    <w:p>
      <w:pPr>
        <w:ind w:left="980" w:right="5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5">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April 20, 2023, or the 2022 Annual Report; and</w:t>
      </w:r>
    </w:p>
    <w:p>
      <w:pPr>
        <w:spacing w:after="0" w:line="170" w:lineRule="exact"/>
        <w:rPr>
          <w:rFonts w:ascii="Arial" w:cs="Arial" w:eastAsia="Arial" w:hAnsi="Arial"/>
          <w:sz w:val="18"/>
          <w:szCs w:val="18"/>
          <w:color w:val="auto"/>
        </w:rPr>
      </w:pPr>
    </w:p>
    <w:p>
      <w:pPr>
        <w:jc w:val="both"/>
        <w:ind w:left="980" w:right="16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6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2022 Annual Report contains a description of our business and audited consolidated financial statements with a report by an independent registered public accounting firm. The consolidated financial statements are prepared and presented in accordance with International Financial Reporting Standards, as issued by the International Accounting Standards Board, or IFRS.</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Opera Software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Matthew Wolfson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Vitaminveien 4, 0484 Oslo, Norway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investor-relations@opera.com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 2369-2400</w:t>
      </w:r>
    </w:p>
    <w:p>
      <w:pPr>
        <w:spacing w:after="0" w:line="21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and any prospectus supplement (including statements incorporated by reference herein) entitled “Risk Factors,” “Business” and “Management’s Discussion and Analysis of Financial Condition and Results of Operations,” among others, discuss factors which could adversely impact our business and financial performance.</w:t>
      </w:r>
    </w:p>
    <w:p>
      <w:pPr>
        <w:spacing w:after="0" w:line="17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7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development and launch, and market acceptance, of our products and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growth in, and market size of, the global internet industry;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platforms and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growth in our user base and level of engagement;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retain and monetize users;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of and trends of competition in our industry;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government policies and regulations relating to our industry and the geographic markets in which we have business operations;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in the markets we have businesses.</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9" w:name="page10"/>
    <w:bookmarkEnd w:id="9"/>
    <w:p>
      <w:pPr>
        <w:ind w:firstLine="648"/>
        <w:spacing w:after="0" w:line="288" w:lineRule="auto"/>
        <w:rPr>
          <w:sz w:val="20"/>
          <w:szCs w:val="20"/>
          <w:color w:val="auto"/>
        </w:rPr>
      </w:pPr>
      <w:r>
        <w:rPr>
          <w:rFonts w:ascii="Arial" w:cs="Arial" w:eastAsia="Arial" w:hAnsi="Arial"/>
          <w:sz w:val="16"/>
          <w:szCs w:val="16"/>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prospectus and any prospectus supplement,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digital advertising and e-commerce industries, projections or estimates about our business and financial prospects involve significant risks and uncertainties.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Opera is a leading global internet brand with a large, engaged and growing base reaching over 324 million average monthly active users in 2022. Building on over 27 years of innovation, starting with our browser products, we are increasingly leveraging our brand as well as our massive and engaged user base in order to expand our offerings and our business. Today, we offer users around the globe a range of products and services that include a variety of PC and mobile browsers, our Opera gaming portals and development tools, our Opera news content recommendation products, our audience extension product (namely the Opera Ads platform) and a number of Web3 and e-commerce products and services.</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Our principal executive offices are located at Vitaminveien 4, 0484 Oslo, Norway. Our telephone number at this address is +47 2369-2400.</w:t>
      </w: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Investing in our securities involves risk. You should carefully consider the risk factors and uncertainties described under the heading “Item 3. Key Information—D. Risk Factors” in our most recently filed annual report on Form 20-F, which is incorporated in this prospectus by reference, as updated by our subsequent filings under the Securities Exchange Act of 1934, as amended, and, if applicable, in any accompanying prospectus supplement before investing in any of the securities that may be offered or sold pursuant to this prospectus. These risks and uncertainties could materially affect our business, results of operations or financial condition and cause the value of our securities to decline. See the sections of this prospectus entitled “Where You Can Find More Information About Us” and “Incorporation of Documents by Reference.”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2" w:name="page13"/>
    <w:bookmarkEnd w:id="12"/>
    <w:p>
      <w:pPr>
        <w:jc w:val="center"/>
        <w:ind w:right="-299"/>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from time to time, offer and sell any combination of the securities described in this prospectus (as may be detailed in a prospectus supplement) up to a total amount of US$300,000,000 in one or more offerings. The selling securityholders may sell from time to time pursuant to this prospectus up to 141,773,298 ordinary shares or equivalent ADSs. The securities offered under this prospectus may be offered separately, together, or in separate series, and in amounts, at prices, and on terms to be determined at the time of sale. See “Plan of Distribution.” We will keep the registration statement of which this prospectus is a part effective until such time as all of the securities covered by this prospectus have been disposed of pursuant to and in accordance with such registration statement.</w:t>
      </w: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80" w:right="619" w:bottom="1440" w:gutter="0" w:footer="0" w:header="0"/>
        </w:sectPr>
      </w:pPr>
    </w:p>
    <w:bookmarkStart w:id="13" w:name="page14"/>
    <w:bookmarkEnd w:id="13"/>
    <w:p>
      <w:pPr>
        <w:jc w:val="center"/>
        <w:ind w:right="-3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capitalization will be set forth in the applicable prospectus supplement or in a report on Form 6-K subsequently furnished to the SEC and specifically incorporated by reference into this prospectus.</w:t>
      </w:r>
    </w:p>
    <w:p>
      <w:pPr>
        <w:spacing w:after="0" w:line="1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580" w:right="71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required and as applicable, we will set forth in a prospectus supplement the following information regarding any material dilution of the equity interests of investors purchasing securities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5" w:name="page16"/>
    <w:bookmarkEnd w:id="15"/>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the net proceeds from the sale of the securities we offer as set forth in the applicable prospectus supplement.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will not receive any proceeds from the sale of any securities by the selling securityholders. The selling securityholders will receive all of the net proceeds from the sale of any securities offered by them under this prospectus. The selling securityholders will bear any underwriting discounts and commission and expenses incurred by them for brokerage, accounting, tax, legal services or any other expenses incurred by the selling securityholders in disposing of these securities. We will bear all other costs, fees and expenses incurred in effecting the registration of the securities covered by this prospectus.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80" w:right="55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do not have standing to sue before the federal courts of the United States.</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memorandum and articles of association does not contain provisions requiring that disputes, including those arising under the securities laws of the United States, between us, our executive officers, directors and shareholders, be subject to arbitration.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of any State in the United States or any action brought against us in the Supreme Court of the State of New York in the County of New York in connection with this offering under the securities laws of the State of New York.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Maples and Calder (Hong Kong) LLP, our counsel as to Cayman Islands law, has advised us that there is uncertainty as to whether the courts of the Cayman Islands would (i) recognize or enforce judgments of U.S. courts obtained against us or our directors or executive officers that are predicated upon the civil liability provisions of the securities laws of the United States or any state in the United States, or (ii) entertain original actions brought in the Cayman Islands against us or our directors or executive officers that are predicated upon the securities laws of the United States or any state in the United States.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competent foreign court with jurisdiction to give the judgment, (b) imposes on the judgment debtor a liability to pay a liquidated sum for which the judgment has been given, (c) is final and conclusive,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Norway</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Wikborg Rein Advokatfirma AS, our counsel as to Norwegian law, has advised us that there is uncertainty as to whether courts in Norway will enforce judgments obtained in other jurisdictions, including the United States, against us or our directors and officers under the securities laws of those jurisdictions or entertain actions in Norway against our directors and officers under the securities laws of other jurisdictions. The United States and Norway do not currently have a treaty providing for reciprocal recognition and enforcement of judgements (other than arbitral awards) in civil and commercial matters.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final, non-appealable, conclusive and enforceable judgment issued by (i) a court of a member state of the Lugano Convention of 30 October 2007 or (ii) a court the respective parties in a particular civil matter have submitted in writing to the exclusive jurisdiction of, would be recognized and enforceable in the courts of Norway according to applicable procedures; subject to (a) the enforcement not being in conflict with decency, Norwegian mandatory law or public policy (“ordre public,”) (b) the judgment not concerning the constitution, dissolution of companies or other persons, or the validity of the resolutions of their decision-making bodies, or (c) any Norwegian debt settlement negotiations, bankruptcy, insolvency, liquidation, enforcement or similar proceedings.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awards of punitive damages in actions brought in the United States or elsewhere may not be enforceable in Norway.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offer and sell from time to time, in one or more offerings, the following securities:</w:t>
      </w:r>
    </w:p>
    <w:p>
      <w:pPr>
        <w:spacing w:after="0" w:line="225"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shares, including ordinary shares represented by ADSs;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securities;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to purchase ordinary shares, preferred shares or ADSs.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selling securityholders named in this prospectus may from time to time, offer and sell up to 141,773,298 of our ordinary shares or equivalent ADSs in one or more offerings.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following is a description of the terms and provisions of our shares, preferred shares, debt securities and warrants to purchase shares, preferred shares or debt securities. These summaries are not meant to be a complete description of each security. We will set forth in the applicable prospectus supplement a description of the preferred shares, warrants, and, in certain cases, the ordinary shares (including ordinary shares represented by ADSs) that may be offered under this prospectus. The terms of the offering of securities, the initial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are a Cayman Islands company and our affairs are governed by our second amended and restated memorandum and articles of association, or the Second M&amp;A and the Companies Act (As Revised) of the Cayman Islands, or Companies Act, and the common law of the Cayman Islands.</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the date of this prospectus, our authorized share capital consists of US$50,000 divided into 500,000,000 ordinary shares with a par value of US$0.0001 each. As of the date of this prospectus, there are 179,826,936 ordinary shares issued and outstanding.</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are summaries of material provisions of our Second M&amp;A and the Companies Act as they relate to the material terms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18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is not required to open its register of members for inspection;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may issue no par value, negotiable or bearer shares;</w:t>
      </w:r>
    </w:p>
    <w:p>
      <w:pPr>
        <w:spacing w:after="0" w:line="252"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All of our outstanding ordinary shares are fully paid and non-assessable. Our shareholders who are non-residents of the Cayman Islands may freely hold and vote their ordinary shares. Our Second M&amp;A prohibit us from issuing bearer or negotiable shares. Our company will issue only non-negotiable shares in registered form, which will be issued when registered in our register of members.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holders of our ordinary shares are entitled to receive such dividends as may be declared by our board of directors subject to our Second M&amp;A and the Companies Act. In addition, our shareholders may by ordinary resolution declare a dividend, but no dividend may exceed the amount recommended by our directors. Under Cayman Islands law, dividends may be paid only out of profits, which include net earnings and retained earnings undistributed in prior years, and out of share premium, a concept analogous to paid-in surplus in the United States. No dividend may be declared and paid unless our directors determine that, immediately after the payment, we will be able to pay our debts as they fall due in the ordinary course of business and we have funds lawfully available for such purpose.</w:t>
      </w:r>
    </w:p>
    <w:p>
      <w:pPr>
        <w:spacing w:after="0" w:line="19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14, 2023, our Board of Directors has adopted a recurring semi-annual cash dividend program with the first semi-annual dividend under the program being US$0.40 per ADS for holders of Opera’s ordinary shares as well as ADSs, each representing two ordinary shares. We intend to pay regular semi-annual dividends, with each payment subject to the approval of our Board of Directors. The form, frequency and amount of future dividends will depend upon our future operations and earnings, capital requirements and surplus, general financial condition, contractual restrictions and other factors that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Cayman Islands law, we must keep a register of members and there must be entered therein:</w:t>
      </w:r>
    </w:p>
    <w:p>
      <w:pPr>
        <w:spacing w:after="0" w:line="225" w:lineRule="exact"/>
        <w:rPr>
          <w:sz w:val="20"/>
          <w:szCs w:val="20"/>
          <w:color w:val="auto"/>
        </w:rPr>
      </w:pPr>
    </w:p>
    <w:p>
      <w:pPr>
        <w:ind w:left="980" w:right="10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names and addresses of our members, together with a statement of the shares held by each member (including the amount paid, or agreed to be considered as paid, on the shares of each member, confirmation of the number and category of shares held by each member, and confirmation of whether each relevant category of shares held by each member carries voting rights under our articles of association, and if so, whether such voting rights are conditional);</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5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completion of this offering, our register of members will be immediately updated to record and give effect to the issue of ordinary shares by us to Bank of New York Mellon, as the depositary (or its custodian or nominee). Once our register of members has been updated, the shareholders recorded in the register of members shall be deemed to have legal title to the shares set against their name.</w:t>
      </w:r>
    </w:p>
    <w:p>
      <w:pPr>
        <w:spacing w:after="0" w:line="17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the name of any person is, without sufficient cause, entered in or omitted from the register of members, or if default is made or unnecessary delay takes place in entering on the register the fact of any person having ceased to be a member, the person or member aggrieved or any member or the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Holders of our ordinary shares have the right to receive notice of, attend, speak and vote at general meetings of our company. At any general meeting a resolution put to the vote of the meeting shall be decided on a show of hands, unless a poll is (before or on the declaration of the result of the show of hands) demanded by the chairman or one or more shareholders present in person or by proxy entitled to vote and who together hold not less than 10% of all paid up voting share capital of our company. An ordinary resolution to be passed by the shareholders requires the affirmative vote of a simple majority of the votes cast in a general meeting. A special resolution requires the affirmative vote of no less than two-thirds of the votes cast in a general meeting. Both ordinary resolutions and special resolutions may also be passed by a unanimous written resolution signed by all the shareholders of our company, as permitted by the Companies Act and our Second M&amp;A. A special resolution will be required for important matters such as a change of name or making changes to our memorandum and articles of association.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 and Shareholder Proposals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a Cayman Islands exempted company, we are not obliged by the Companies Act to call shareholders’ annual general meetings. Our Second M&amp;A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within one year of the end of each fiscal year following listing, as required by the Listing Rules of the NASDAQ Stock Market.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 w:name="page23"/>
    <w:bookmarkEnd w:id="22"/>
    <w:p>
      <w:pPr>
        <w:ind w:right="20"/>
        <w:spacing w:after="0" w:line="293"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 proposal before a general meeting. However, our Second M&amp;A allow two or more shareholders holding at the date of deposit of the requisition shares which carry in aggregate not less than ten percent (10%) of all votes attaching to all issued and outstanding shares of the Company that as at the date of the deposit carry the right to vote at general meetings of the Company to requisition a special meeting of the shareholders, in which case the directors are obliged to call such meeting and to put the resolutions so requisitioned to a vote at such meeting. Our Second M&amp;A, however, do not provide our shareholders with any right to put any proposals before annual general meetings or extraordinary general meetings not called by such shareholders.</w:t>
      </w:r>
    </w:p>
    <w:p>
      <w:pPr>
        <w:spacing w:after="0" w:line="16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 quorum required for a meeting of shareholders consists of one or more shareholders holding, in aggregate, not less than one-third of the votes attaching to all paid up share capital of our company present in person or by proxy or, if a corporation or other non-natural person, by its duly authorized representative. Advance notice of at least seven calendar days is required for the convening of our annual general meeting and other shareholders’ meetings.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Subject to the restrictions in our Second M&amp;A as set out below, any of our shareholders may transfer all or any of his or her ordinary shares by an instrument of transfer in the usual or common form or any other form approved by our board.</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170" w:lineRule="exact"/>
        <w:rPr>
          <w:sz w:val="20"/>
          <w:szCs w:val="20"/>
          <w:color w:val="auto"/>
        </w:rPr>
      </w:pPr>
    </w:p>
    <w:p>
      <w:pPr>
        <w:ind w:left="980" w:right="1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or</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ordinary shares transferred are free of any lien in favor of us.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our directors refuse to register a transfer they are obligated to, within three months after the date on which the instrument of transfer was lodged, send to each of the transferor and the transferee notice of such refusal. The registration of transfers of shares or of any class of shares may, after compliance with any notice requirement of the designated stock exchange, be suspended at such times and for such periods (not exceeding in the whole thirty (30) days in any year) as our board of directors may determine.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Second M&amp;A authorize our board of directors to issue additional ordinary shares from time to time as our board of directors shall determine, to the extent of available authorized but unissued shares. Our Second M&amp;A also authorize our board of directors to establish from time to time one or more series of preference shares and to determine, with respect to any series of preference shares, the terms and rights of that series, including:</w:t>
      </w:r>
    </w:p>
    <w:p>
      <w:pPr>
        <w:spacing w:after="0" w:line="16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5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board of directors may issue preference shares without further action by our shareholders to the extent authorized but unissued. Issuance of these shares may dilute the voting power of holders of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We are a “limited liability” company incorporated under the Companies Act, and under the Companies Act, the liability of our members is limited to the amount, if any, unpaid on the shares respectively held by them. Our Second M&amp;A contain a declaration that the liability of our members is so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ordinary shares in a notice served to such shareholders at least fourteen calendar days prior to the specified time and place of payment. The ordinary shares that have been called upon and remain unpaid on the specified time are subject to forfeiture.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Second M&amp;A.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If at any time the share capital is divided into different classes of shares, the rights attached to any class of shares may, unless otherwise provided by the terms of issue of the shares of or the rights attaching to that class, be varied either with the unanimous written consent of the holders of the issued shares of that class or with the sanction of a special resolution passed at a general meeting of the holders of the shares of that class.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Holders of our ordinary shares will have no general right under Cayman Islands law to inspect or obtain copies of our list of shareholders or our corporate records (other than copies of our memorandum and articles of association, our register of mortgages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More Information About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shareholders may from time to time by ordinary resolutions: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prescribes;</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convert all or any of its paid up shares into stock and reconvert the stock into paid up shares of any denomination;</w:t>
      </w:r>
    </w:p>
    <w:p>
      <w:pPr>
        <w:spacing w:after="0" w:line="170"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than that fixed by our Second M&amp;A; provided that in the subdivision the proportion between the amount paid and the amount, if any, unpaid on each reduced share will be the same as it was in case of the share from which the reduced share is derived; and</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Our shareholders may by special resolution, subject to confirmation by the Grand Court of the Cayman Islands on an application by our company for an order confirming such reduction, reduce our share capital and any capital redemption reserve in any manner authorized by law.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480" w:firstLine="324"/>
        <w:spacing w:after="0" w:line="301" w:lineRule="auto"/>
        <w:rPr>
          <w:sz w:val="20"/>
          <w:szCs w:val="20"/>
          <w:color w:val="auto"/>
        </w:rPr>
      </w:pPr>
      <w:r>
        <w:rPr>
          <w:rFonts w:ascii="Arial" w:cs="Arial" w:eastAsia="Arial" w:hAnsi="Arial"/>
          <w:sz w:val="16"/>
          <w:szCs w:val="16"/>
          <w:color w:val="auto"/>
        </w:rPr>
        <w:t>The Companies Act is derived, to a large extent, from the older Companies Acts of England, but does not follow recent English law statutory enactments, and accordingly there are significant differences between the Companies Act and the current Companies Act of England. In addition, the Companies Act differs from laws applicable to Delaware corporations and their shareholders. Set forth below is a summary of certain significant differences between the provisions of the Companies Act applicable to us and the laws applicable to Delaware corporations and their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undertakings, property and liabilities in one 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p>
      <w:pPr>
        <w:ind w:right="120" w:firstLine="324"/>
        <w:spacing w:after="0" w:line="254" w:lineRule="auto"/>
        <w:rPr>
          <w:sz w:val="20"/>
          <w:szCs w:val="20"/>
          <w:color w:val="auto"/>
        </w:rPr>
      </w:pPr>
      <w:r>
        <w:rPr>
          <w:rFonts w:ascii="Arial" w:cs="Arial" w:eastAsia="Arial" w:hAnsi="Arial"/>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court the view that the transaction ought not to be approved, the court can be expected to approve the arrangement if it determines that:</w:t>
      </w:r>
    </w:p>
    <w:p>
      <w:pPr>
        <w:spacing w:after="0" w:line="19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statutory provisions as to the due majority vote have been met;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5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the arrangement and reconstruction is thus approved, or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Suits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principle, we will normally be the proper plaintiff in any action or proceedings to be brought in respect of a wrong committed against us,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a derivative action in the name of, a company to challenge the following acts in the following circumstances:</w:t>
      </w:r>
    </w:p>
    <w:p>
      <w:pPr>
        <w:spacing w:after="0" w:line="18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Fiduciary Duties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or she owes the following duties to the company — a duty to act in good faith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English and commonwealth courts are moving towards an objective standard with regard to the required skill and care and these authorities are likely to be followed in the Cayman Islands.</w:t>
      </w:r>
    </w:p>
    <w:p>
      <w:pPr>
        <w:spacing w:after="0" w:line="17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Under our Second M&amp;A, directors who are in any way, whether directly or indirectly, interested in a contract or proposed contract with our company must declare the nature of their interest at a meeting of the board of directors. Subject to Listing Rules of the NASDAQ Stock Market and disqualification by the chairman of the relevant board meeting, a director may vote in respect of any contract, proposed contract, arrangement or transaction notwithstanding his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The Companies Act and our Second M&amp;A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Second M&amp;A do not provide for cumulative voting.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 Under our Second M&amp;A, directors can be removed by an ordinary resolution. In addition, a director’s office shall be vacated if the director (i) becomes bankrupt or makes any arrangement or composition with his creditors; (ii) dies or is found to be or becomes of unsound mind; (iii) resigns by notice in writing to the company; (iv) without special leave of absence from our board of directors, is absent from three consecutive meetings of the board and the board resolves that his office be vacated; (v) is prohibited by law from being a director; or (vi) is removed pursuant to our Second M&amp;A.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6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Under the Companies Act, our company may be dissolved, liquidated or wound up by a special resolution, or by an ordinary resolution on the basis that our company is unable to pay its debts as they fall due.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at any time, our share capital is divided into different classes of shares, under the Delaware General Corporation Law, a corporation may vary the rights of a class of shares with the approval of a majority of the outstanding shares of such class, unless the certificate of incorporation provides otherwise. Under our Second M&amp;A and as permitted by the Companies Act, if our share capital is divided into more than one class of shares, we may vary the rights attached to any class either with the unanimous written consent of the holders of the issued shares of that class or with the sanction of a special resolution passed at a general meeting of the holders of the shares of that class.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 As required by the Companies Act, our Second M&amp;A may only be amended by a special resolution of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Holders of our shares will have no general right under Cayman Islands law to inspect or obtain copies of our list of shareholders or our corporate records (other than copies of the memorandum and articles of association, the register of mortgages and charges, and any special resolutions passed by the shareholders). Under Cayman Islands law, the names of our current directors can be obtained from a search conducted at the Registrar of Companies. However, we intend to provide our shareholders with annual reports containing audited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Some provisions of our Second M&amp;A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4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Second M&amp;A for a proper purpose and for what they believe in good faith to be in the best interests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are no limitations imposed by foreign law or by our Second M&amp;A on the rights of non-resident or foreign shareholders to hold or exercise voting rights on our ordinary shares. In addition, there are no provisions in our Second M&amp;A that require our company to disclose shareholder ownership above any particular ownership threshold.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b w:val="1"/>
          <w:bCs w:val="1"/>
          <w:color w:val="auto"/>
        </w:rPr>
        <w:t>DESCRIPTION OF ORDINARY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issue our ordinary shares either alone or underlying other securities convertible into or exercisable or exchangeable for our ordinary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our ordinary shares are entitled to certain rights and subject to certain conditions as set forth in our Second M&amp;A and the Companies Act. See “Description of Share Capital.”</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80" w:right="5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2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represents two ordinary shares (or a right to receive two ordinary shares) deposited with The Hongkong and Shanghai Banking Corporation Limited, as custodian for the depositary in Hong Kong. Each ADS also represents any other securities, cash or other property which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16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See “Where You Can Find More Information About Us” for directions on how to obtain copies of those documents.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depositary will convert any cash dividend or other cash distribution we pay on the shares into U.S. Dollars, if it can do so on a reasonable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for the respective accounts of the ADS holders.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 w:name="page32"/>
    <w:bookmarkEnd w:id="31"/>
    <w:p>
      <w:pPr>
        <w:ind w:right="220" w:firstLine="324"/>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“Taxation” in our most recently filed annual report on Form 20-F for additional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w:t>
      </w:r>
      <w:r>
        <w:rPr>
          <w:rFonts w:ascii="Arial" w:cs="Arial" w:eastAsia="Arial" w:hAnsi="Arial"/>
          <w:sz w:val="18"/>
          <w:szCs w:val="18"/>
          <w:color w:val="auto"/>
        </w:rPr>
        <w:t xml:space="preserve"> </w:t>
      </w:r>
      <w:r>
        <w:rPr>
          <w:rFonts w:ascii="Arial" w:cs="Arial" w:eastAsia="Arial" w:hAnsi="Arial"/>
          <w:sz w:val="18"/>
          <w:szCs w:val="18"/>
          <w:i w:val="1"/>
          <w:iCs w:val="1"/>
          <w:color w:val="auto"/>
        </w:rPr>
        <w:t>lose some of the value of the distribution</w:t>
      </w:r>
      <w:r>
        <w:rPr>
          <w:rFonts w:ascii="Arial" w:cs="Arial" w:eastAsia="Arial" w:hAnsi="Arial"/>
          <w:sz w:val="18"/>
          <w:szCs w:val="18"/>
          <w:color w:val="auto"/>
        </w:rPr>
        <w:t>.</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we offer holders of our securities any rights to subscribe for additional shares or any other rights,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6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 any</w:t>
      </w:r>
      <w:r>
        <w:rPr>
          <w:rFonts w:ascii="Arial" w:cs="Arial" w:eastAsia="Arial" w:hAnsi="Arial"/>
          <w:sz w:val="18"/>
          <w:szCs w:val="18"/>
          <w:color w:val="auto"/>
        </w:rPr>
        <w:t xml:space="preserve"> </w:t>
      </w:r>
      <w:r>
        <w:rPr>
          <w:rFonts w:ascii="Arial" w:cs="Arial" w:eastAsia="Arial" w:hAnsi="Arial"/>
          <w:sz w:val="18"/>
          <w:szCs w:val="18"/>
          <w:i w:val="1"/>
          <w:iCs w:val="1"/>
          <w:color w:val="auto"/>
        </w:rPr>
        <w:t>value for them if it is illegal or impractical for us to make them available to you</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See “Description of Share Capital” for more information on the voting rights of our ordinary shares underlying the ADSs.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i w:val="1"/>
          <w:iCs w:val="1"/>
          <w:color w:val="auto"/>
        </w:rPr>
        <w:t>Except by instructing the depositary as described above, you won</w:t>
      </w:r>
      <w:r>
        <w:rPr>
          <w:rFonts w:ascii="Arial" w:cs="Arial" w:eastAsia="Arial" w:hAnsi="Arial"/>
          <w:sz w:val="18"/>
          <w:szCs w:val="18"/>
          <w:color w:val="auto"/>
        </w:rPr>
        <w:t>’</w:t>
      </w:r>
      <w:r>
        <w:rPr>
          <w:rFonts w:ascii="Arial" w:cs="Arial" w:eastAsia="Arial" w:hAnsi="Arial"/>
          <w:sz w:val="18"/>
          <w:szCs w:val="18"/>
          <w:i w:val="1"/>
          <w:iCs w:val="1"/>
          <w:color w:val="auto"/>
        </w:rPr>
        <w:t xml:space="preserve">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shares.</w:t>
      </w:r>
    </w:p>
    <w:p>
      <w:pPr>
        <w:spacing w:after="0" w:line="225" w:lineRule="exact"/>
        <w:rPr>
          <w:sz w:val="20"/>
          <w:szCs w:val="20"/>
          <w:color w:val="auto"/>
        </w:rPr>
      </w:pPr>
    </w:p>
    <w:p>
      <w:pPr>
        <w:jc w:val="both"/>
        <w:ind w:right="640" w:firstLine="324"/>
        <w:spacing w:after="0" w:line="263" w:lineRule="auto"/>
        <w:rPr>
          <w:sz w:val="20"/>
          <w:szCs w:val="20"/>
          <w:color w:val="auto"/>
        </w:rPr>
      </w:pPr>
      <w:r>
        <w:rPr>
          <w:rFonts w:ascii="Arial" w:cs="Arial" w:eastAsia="Arial" w:hAnsi="Arial"/>
          <w:sz w:val="18"/>
          <w:szCs w:val="18"/>
          <w:color w:val="auto"/>
        </w:rPr>
        <w:t xml:space="preserve">In addition, the depositary and its agents are not responsible for failing to carry out voting instructions or for the manner of carrying out voting instructions. </w:t>
      </w:r>
      <w:r>
        <w:rPr>
          <w:rFonts w:ascii="Arial" w:cs="Arial" w:eastAsia="Arial" w:hAnsi="Arial"/>
          <w:sz w:val="18"/>
          <w:szCs w:val="18"/>
          <w:i w:val="1"/>
          <w:iCs w:val="1"/>
          <w:color w:val="auto"/>
        </w:rPr>
        <w:t>This means that you may not be able to exercise voting rights and there may be nothing you can do if your shares are not voted as you</w:t>
      </w:r>
      <w:r>
        <w:rPr>
          <w:rFonts w:ascii="Arial" w:cs="Arial" w:eastAsia="Arial" w:hAnsi="Arial"/>
          <w:sz w:val="18"/>
          <w:szCs w:val="18"/>
          <w:color w:val="auto"/>
        </w:rPr>
        <w:t xml:space="preserve"> </w:t>
      </w:r>
      <w:r>
        <w:rPr>
          <w:rFonts w:ascii="Arial" w:cs="Arial" w:eastAsia="Arial" w:hAnsi="Arial"/>
          <w:sz w:val="18"/>
          <w:szCs w:val="18"/>
          <w:i w:val="1"/>
          <w:iCs w:val="1"/>
          <w:color w:val="auto"/>
        </w:rPr>
        <w:t>requested.</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ADS holders are required to pay the following service fees to the depositary bank, the Bank of New York Mellon, and certain taxes and governmental charges (in addition to any applicable fees, expenses, taxes and other governmental charges payable on the deposited securities represented by any of ADSs):</w:t>
      </w:r>
    </w:p>
    <w:p>
      <w:pPr>
        <w:sectPr>
          <w:pgSz w:w="11900" w:h="16838" w:orient="portrait"/>
          <w:cols w:equalWidth="0" w:num="1">
            <w:col w:w="11240"/>
          </w:cols>
          <w:pgMar w:left="320" w:top="580" w:right="339" w:bottom="1440" w:gutter="0" w:footer="0" w:header="0"/>
        </w:sectPr>
      </w:pP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948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US$5.00 (or less) per 100 ADSs (or portion of 100 ADSs)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114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Cancelation of ADSs for the purpose of withdrawal, including if the deposit agreement terminates</w:t>
      </w:r>
    </w:p>
    <w:p>
      <w:pPr>
        <w:spacing w:after="0" w:line="183" w:lineRule="exact"/>
        <w:rPr>
          <w:sz w:val="20"/>
          <w:szCs w:val="20"/>
          <w:color w:val="auto"/>
        </w:rPr>
      </w:pPr>
    </w:p>
    <w:p>
      <w:pPr>
        <w:sectPr>
          <w:pgSz w:w="11900" w:h="16838" w:orient="portrait"/>
          <w:cols w:equalWidth="0" w:num="2">
            <w:col w:w="4440" w:space="320"/>
            <w:col w:w="6480"/>
          </w:cols>
          <w:pgMar w:left="320" w:top="580" w:right="339" w:bottom="1440" w:gutter="0" w:footer="0" w:header="0"/>
          <w:type w:val="continuous"/>
        </w:sectPr>
      </w:pPr>
    </w:p>
    <w:p>
      <w:pPr>
        <w:spacing w:after="0"/>
        <w:tabs>
          <w:tab w:leader="none" w:pos="4740" w:val="left"/>
        </w:tabs>
        <w:rPr>
          <w:sz w:val="20"/>
          <w:szCs w:val="20"/>
          <w:color w:val="auto"/>
        </w:rPr>
      </w:pPr>
      <w:r>
        <w:rPr>
          <w:rFonts w:ascii="Arial" w:cs="Arial" w:eastAsia="Arial" w:hAnsi="Arial"/>
          <w:sz w:val="18"/>
          <w:szCs w:val="18"/>
          <w:color w:val="auto"/>
        </w:rPr>
        <w:t>US$0.05 (or less) per ADS</w:t>
      </w:r>
      <w:r>
        <w:rPr>
          <w:sz w:val="20"/>
          <w:szCs w:val="20"/>
          <w:color w:val="auto"/>
        </w:rPr>
        <w:tab/>
      </w:r>
      <w:r>
        <w:rPr>
          <w:rFonts w:ascii="Arial" w:cs="Arial" w:eastAsia="Arial" w:hAnsi="Arial"/>
          <w:sz w:val="16"/>
          <w:szCs w:val="16"/>
          <w:color w:val="auto"/>
        </w:rPr>
        <w:t>Any cash distribution to ADS holders</w:t>
      </w:r>
    </w:p>
    <w:p>
      <w:pPr>
        <w:spacing w:after="0" w:line="225"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A fee equivalent to the fee that would be payable if securities</w:t>
      </w:r>
      <w:r>
        <w:rPr>
          <w:sz w:val="20"/>
          <w:szCs w:val="20"/>
          <w:color w:val="auto"/>
        </w:rPr>
        <w:tab/>
      </w:r>
      <w:r>
        <w:rPr>
          <w:rFonts w:ascii="Arial" w:cs="Arial" w:eastAsia="Arial" w:hAnsi="Arial"/>
          <w:sz w:val="16"/>
          <w:szCs w:val="16"/>
          <w:color w:val="auto"/>
        </w:rPr>
        <w:t>Distribution of securities distributed to holders of deposited securities (including rights)</w:t>
      </w:r>
    </w:p>
    <w:p>
      <w:pPr>
        <w:spacing w:after="0" w:line="23"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distributed to you had been shares and the shares had been</w:t>
      </w:r>
      <w:r>
        <w:rPr>
          <w:sz w:val="20"/>
          <w:szCs w:val="20"/>
          <w:color w:val="auto"/>
        </w:rPr>
        <w:tab/>
      </w:r>
      <w:r>
        <w:rPr>
          <w:rFonts w:ascii="Arial" w:cs="Arial" w:eastAsia="Arial" w:hAnsi="Arial"/>
          <w:sz w:val="16"/>
          <w:szCs w:val="16"/>
          <w:color w:val="auto"/>
        </w:rPr>
        <w:t>that are distributed by the depositary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deposited for issuance of ADSs</w:t>
      </w:r>
    </w:p>
    <w:p>
      <w:pPr>
        <w:spacing w:after="0" w:line="211"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US$0.05 (or less) per ADS per calendar year</w:t>
      </w:r>
      <w:r>
        <w:rPr>
          <w:sz w:val="20"/>
          <w:szCs w:val="20"/>
          <w:color w:val="auto"/>
        </w:rPr>
        <w:tab/>
      </w:r>
      <w:r>
        <w:rPr>
          <w:rFonts w:ascii="Arial" w:cs="Arial" w:eastAsia="Arial" w:hAnsi="Arial"/>
          <w:sz w:val="16"/>
          <w:szCs w:val="16"/>
          <w:color w:val="auto"/>
        </w:rPr>
        <w:t>Depositary services</w:t>
      </w:r>
    </w:p>
    <w:p>
      <w:pPr>
        <w:spacing w:after="0" w:line="225"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Registration or transfer fees</w:t>
      </w:r>
      <w:r>
        <w:rPr>
          <w:sz w:val="20"/>
          <w:szCs w:val="20"/>
          <w:color w:val="auto"/>
        </w:rPr>
        <w:tab/>
      </w:r>
      <w:r>
        <w:rPr>
          <w:rFonts w:ascii="Arial" w:cs="Arial" w:eastAsia="Arial" w:hAnsi="Arial"/>
          <w:sz w:val="16"/>
          <w:szCs w:val="16"/>
          <w:color w:val="auto"/>
        </w:rPr>
        <w:t>Transfer and registration of shares on our share register to or from the name of the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depositary or its agent when you deposit or withdraw shares</w:t>
      </w:r>
    </w:p>
    <w:p>
      <w:pPr>
        <w:spacing w:after="0" w:line="211"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Expenses of the depositary</w:t>
      </w:r>
      <w:r>
        <w:rPr>
          <w:sz w:val="20"/>
          <w:szCs w:val="20"/>
          <w:color w:val="auto"/>
        </w:rPr>
        <w:tab/>
      </w:r>
      <w:r>
        <w:rPr>
          <w:rFonts w:ascii="Arial" w:cs="Arial" w:eastAsia="Arial" w:hAnsi="Arial"/>
          <w:sz w:val="16"/>
          <w:szCs w:val="16"/>
          <w:color w:val="auto"/>
        </w:rPr>
        <w:t>Cable and facsimile transmissions (when expressly provided in the deposit agreement)</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Converting foreign currency to U.S. Dollars</w:t>
      </w:r>
    </w:p>
    <w:p>
      <w:pPr>
        <w:spacing w:after="0" w:line="225"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Taxes and other governmental charges the depositary or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custodian has to pay on any ADSs or shares underlying ADSs,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as stock transfer taxes, stamp duty or withholding taxes</w:t>
      </w:r>
    </w:p>
    <w:p>
      <w:pPr>
        <w:spacing w:after="0" w:line="211"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Any charges incurred by the depositary or its agents for</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servicing the deposited securities</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Cancelation of Deposited Securities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canceled, or if the deposited securities underlying ADSs have become apparently worthless, the depositary may call for surrender or of those ADSs or cancel those ADSs upon notice to the ADS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 to</w:t>
      </w:r>
      <w:r>
        <w:rPr>
          <w:rFonts w:ascii="Arial" w:cs="Arial" w:eastAsia="Arial" w:hAnsi="Arial"/>
          <w:sz w:val="17"/>
          <w:szCs w:val="17"/>
          <w:color w:val="auto"/>
        </w:rPr>
        <w:t xml:space="preserve"> </w:t>
      </w:r>
      <w:r>
        <w:rPr>
          <w:rFonts w:ascii="Arial" w:cs="Arial" w:eastAsia="Arial" w:hAnsi="Arial"/>
          <w:sz w:val="17"/>
          <w:szCs w:val="17"/>
          <w:i w:val="1"/>
          <w:iCs w:val="1"/>
          <w:color w:val="auto"/>
        </w:rPr>
        <w:t>agree to the amendment and to be bound by the ADRs and the deposit agreement as amended.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70" w:lineRule="exact"/>
        <w:rPr>
          <w:sz w:val="20"/>
          <w:szCs w:val="20"/>
          <w:color w:val="auto"/>
        </w:rPr>
      </w:pPr>
    </w:p>
    <w:p>
      <w:pPr>
        <w:ind w:left="980" w:right="7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2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70" w:lineRule="exact"/>
        <w:rPr>
          <w:sz w:val="20"/>
          <w:szCs w:val="20"/>
          <w:color w:val="auto"/>
        </w:rPr>
      </w:pPr>
    </w:p>
    <w:p>
      <w:pPr>
        <w:ind w:left="980" w:right="2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left="980" w:right="3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252"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or for any;</w:t>
      </w:r>
    </w:p>
    <w:p>
      <w:pPr>
        <w:spacing w:after="0" w:line="183"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may rely upon any documents we believe or it believes in good faith to be genuine and to have been signed or presented by the proper person;</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252"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170"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25" w:lineRule="exact"/>
        <w:rPr>
          <w:sz w:val="20"/>
          <w:szCs w:val="20"/>
          <w:color w:val="auto"/>
        </w:rPr>
      </w:pPr>
    </w:p>
    <w:p>
      <w:pPr>
        <w:ind w:left="980" w:right="1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ind w:left="980" w:right="5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the Securities Act of 1933 or the rules and regulations promulgated thereunder.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DESCRIPTION OF OUR PREFERRED SHARES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board of directors has the authority, without shareholder approval, to issue preferred shares in one or more series out of our authorized share capital. Our board of directors may establish the number of shares to be included in each such series and may set the designations, preferences, powers and other rights of the shares of a series of preferred shares. Accordingly, our board of directors is empowered, without shareholder approval, to issue preferred shares with dividend, liquidation, conversion, redemption voting or other rights which could adversely affect the voting power or other rights of the holders of ordinary shares. The preferred shares could be utilized as a method of discouraging, delaying or preventing a change in control of Opera Limited. Although we do not currently intend to issue any preferred shares, we cannot assure you that we will not do so in the future.</w:t>
      </w:r>
    </w:p>
    <w:p>
      <w:pPr>
        <w:spacing w:after="0" w:line="16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the date of this document, there are no outstanding shares of preferred stock of any series. The material terms of any series of preferred shares that we offer, together with any material U.S. federal income tax considerations relating to such preferred shares, will be described in a prospectus supplement.</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Holders of our preferred shares are entitled to certain rights and subject to certain conditions as set forth in our Second M&amp;A and the Companies Act. See “Description of Share Capital.”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pacing w:after="0" w:line="15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spacing w:after="0" w:line="16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aggregate principal amount) at which we will sell the debt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or dates on which we will repay the principal on the debt securities and the right, if any, to extend the maturity of the debt securities;</w:t>
      </w:r>
    </w:p>
    <w:p>
      <w:pPr>
        <w:spacing w:after="0" w:line="263" w:lineRule="exact"/>
        <w:rPr>
          <w:rFonts w:ascii="Arial" w:cs="Arial" w:eastAsia="Arial" w:hAnsi="Arial"/>
          <w:sz w:val="17"/>
          <w:szCs w:val="17"/>
          <w:color w:val="auto"/>
        </w:rPr>
      </w:pPr>
    </w:p>
    <w:p>
      <w:pPr>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165"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170"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123" w:lineRule="exact"/>
        <w:rPr>
          <w:rFonts w:ascii="Arial" w:cs="Arial" w:eastAsia="Arial" w:hAnsi="Arial"/>
          <w:sz w:val="16"/>
          <w:szCs w:val="16"/>
          <w:color w:val="auto"/>
        </w:rPr>
      </w:pPr>
    </w:p>
    <w:p>
      <w:pPr>
        <w:ind w:left="660" w:right="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left="660" w:right="2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the indenture with respect to the debt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and any applicable subordination provisions;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discussion of material income tax considerations applicable to the debt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which may modify any provisions of the indenture as it applies to that series;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26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41" w:name="page42"/>
    <w:bookmarkEnd w:id="41"/>
    <w:p>
      <w:pPr>
        <w:ind w:firstLine="648"/>
        <w:spacing w:after="0" w:line="254" w:lineRule="auto"/>
        <w:rPr>
          <w:sz w:val="20"/>
          <w:szCs w:val="20"/>
          <w:color w:val="auto"/>
        </w:rPr>
      </w:pPr>
      <w:r>
        <w:rPr>
          <w:rFonts w:ascii="Arial" w:cs="Arial" w:eastAsia="Arial" w:hAnsi="Arial"/>
          <w:sz w:val="18"/>
          <w:szCs w:val="18"/>
          <w:color w:val="auto"/>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9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unless we otherwise specify in the applicable prospectus supplement.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may issue and offer warrants under the material terms and conditions described in this prospectus and any accompanying prospectus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supplement. The accompanying prospectus supplement may add, update or change the terms and conditions of the warrants as described in this prospectus.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issue warrants to purchase our ordinary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4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equity warrants;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aggregate amount of equity warrants and the aggregate amount of equity securities purchasable upon exercise of the equity warrants;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designation and terms of the equity securities with which the equity warrants are issued, and the amount of equity warrants issued with each equity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if any, on and after which the equity warrants and the related equity security will be separately transferable;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equity warrants that may be exercised at any one time;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equity warrants;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anti-dilution provisions of the equity warrants, if 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equity warrants; and</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additional terms of the equity warrants, including terms, procedures and limitations relating to the exchange and exercise of the equity warrants.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3" w:name="page44"/>
    <w:bookmarkEnd w:id="43"/>
    <w:p>
      <w:pPr>
        <w:ind w:right="120" w:firstLine="648"/>
        <w:spacing w:after="0" w:line="263" w:lineRule="auto"/>
        <w:rPr>
          <w:sz w:val="20"/>
          <w:szCs w:val="20"/>
          <w:color w:val="auto"/>
        </w:rPr>
      </w:pPr>
      <w:r>
        <w:rPr>
          <w:rFonts w:ascii="Arial" w:cs="Arial" w:eastAsia="Arial" w:hAnsi="Arial"/>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aggregate principal amount and terms of the debt securities purchasable upon exercise of the debt warrants;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terms of any related debt securities with which the debt warrants are issued and the amount of the debt warrants issued with each debt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warrants that may be exercised at any one time;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debt warrants;</w:t>
      </w:r>
    </w:p>
    <w:p>
      <w:pPr>
        <w:spacing w:after="0" w:line="252"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will be issued in registered or bearer form, and, if registered, where they may be transferred and registered;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anti-dilution provisions of the debt warrants, if 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debt warrants; and</w:t>
      </w:r>
    </w:p>
    <w:p>
      <w:pPr>
        <w:spacing w:after="0" w:line="252" w:lineRule="exact"/>
        <w:rPr>
          <w:rFonts w:ascii="Arial" w:cs="Arial" w:eastAsia="Arial" w:hAnsi="Arial"/>
          <w:sz w:val="18"/>
          <w:szCs w:val="18"/>
          <w:color w:val="auto"/>
        </w:rPr>
      </w:pPr>
    </w:p>
    <w:p>
      <w:pPr>
        <w:jc w:val="center"/>
        <w:ind w:left="5540" w:right="180" w:hanging="5208"/>
        <w:spacing w:after="0" w:line="559" w:lineRule="auto"/>
        <w:tabs>
          <w:tab w:leader="none" w:pos="6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terms, procedures and limitations relating to the exchange and exercise of the debt warrants.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firstLine="648"/>
        <w:spacing w:after="0" w:line="257"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securities beneficially owned by the selling securityholders named below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selling securityholders may from time to time offer and sell pursuant to this prospectus any or all of the ordinary shares including the ADSs representing these ordinary shares. The selling securityholders, however, make no representations that the ordinary shares or ADSs will be offered for sale. The table below presents information regarding the selling securityholders and the ordinary shares or ADSs that each may offer and sell from time to time under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225" w:lineRule="exact"/>
        <w:rPr>
          <w:sz w:val="20"/>
          <w:szCs w:val="20"/>
          <w:color w:val="auto"/>
        </w:rPr>
      </w:pPr>
    </w:p>
    <w:p>
      <w:pPr>
        <w:ind w:left="800" w:hanging="14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of each selling securityholder as of the date of this prospectus;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securities beneficially owned by each selling securityholder prior to the sale of the securities covered by this prospectus;</w:t>
      </w:r>
    </w:p>
    <w:p>
      <w:pPr>
        <w:spacing w:after="0" w:line="236" w:lineRule="exact"/>
        <w:rPr>
          <w:rFonts w:ascii="Arial" w:cs="Arial" w:eastAsia="Arial" w:hAnsi="Arial"/>
          <w:sz w:val="17"/>
          <w:szCs w:val="17"/>
          <w:color w:val="auto"/>
        </w:rPr>
      </w:pPr>
    </w:p>
    <w:p>
      <w:pPr>
        <w:ind w:left="800" w:hanging="14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securities that may be offered by each selling securityholder pursuant to this prospectus;</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securities to be beneficially owned by each selling securityholder following the sale of any securities covered by this prospectus;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the percentage of securities to be owned by each selling securityholder before and after the sale of the securities covered by this prospectus.</w:t>
      </w:r>
    </w:p>
    <w:p>
      <w:pPr>
        <w:spacing w:after="0" w:line="24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All information with respect to ownership of the selling securityholders’ shares has been furnished by or on behalf of the selling securityholders and, unless otherwise indicated, is as of July 14, 2023. Based on information supplied by the selling securityholders, we believe that, except as may otherwise be indicated in the footnotes to the table below, the selling securityholders have sole voting and dispositive power with respect to the securities reported as beneficially owned by them.</w:t>
      </w:r>
    </w:p>
    <w:p>
      <w:pPr>
        <w:spacing w:after="0" w:line="187"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Because the selling securityholders may sell, transfer or otherwise dispose of all, some or none of the securities covered by this prospectus, we cannot determine the number of such securities that will be sold, transferred or otherwise disposed of by the selling securityholders, or the amount</w:t>
      </w:r>
    </w:p>
    <w:p>
      <w:pPr>
        <w:ind w:right="60"/>
        <w:spacing w:after="0" w:line="252" w:lineRule="auto"/>
        <w:rPr>
          <w:sz w:val="20"/>
          <w:szCs w:val="20"/>
          <w:color w:val="auto"/>
        </w:rPr>
      </w:pPr>
      <w:r>
        <w:rPr>
          <w:rFonts w:ascii="Arial" w:cs="Arial" w:eastAsia="Arial" w:hAnsi="Arial"/>
          <w:sz w:val="18"/>
          <w:szCs w:val="18"/>
          <w:color w:val="auto"/>
        </w:rPr>
        <w:t>or percentage of securities that will be held by the selling securityholders upon termination of any particular offering or sale, if any. The selling securityholders make no representations, however, that they will sell, transfer or otherwise dispose any securities in any particular offering or sale. In addition, the selling securityholders may have sold, transferred or otherwise disposed of, or may sell, transfer or otherwise dispose of, at any time and from time to time, the ordinary shares or ADSs they hold in transactions exempt from the registration requirements of the Securities Act after the date on which they provided the information set forth on the table below. Solely for purposes of the requirements applicable to the registration statement of which this prospectus forms a part, the following table assumes that the selling securityholders will sell all of the securities owned beneficially by them that are covered by this prospectus.</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Beneficially Owned</w:t>
            </w:r>
          </w:p>
        </w:tc>
        <w:tc>
          <w:tcPr>
            <w:tcW w:w="24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Beneficially Owned</w:t>
            </w:r>
          </w:p>
        </w:tc>
        <w:tc>
          <w:tcPr>
            <w:tcW w:w="10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prior to this Offering</w:t>
            </w:r>
          </w:p>
        </w:tc>
        <w:tc>
          <w:tcPr>
            <w:tcW w:w="240" w:type="dxa"/>
            <w:vAlign w:val="bottom"/>
          </w:tcPr>
          <w:p>
            <w:pPr>
              <w:spacing w:after="0"/>
              <w:rPr>
                <w:sz w:val="20"/>
                <w:szCs w:val="20"/>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Being Registered</w:t>
            </w:r>
          </w:p>
        </w:tc>
        <w:tc>
          <w:tcPr>
            <w:tcW w:w="240" w:type="dxa"/>
            <w:vAlign w:val="bottom"/>
          </w:tcPr>
          <w:p>
            <w:pPr>
              <w:spacing w:after="0"/>
              <w:rPr>
                <w:sz w:val="20"/>
                <w:szCs w:val="20"/>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after this Offering</w:t>
            </w:r>
          </w:p>
        </w:tc>
        <w:tc>
          <w:tcPr>
            <w:tcW w:w="100" w:type="dxa"/>
            <w:vAlign w:val="bottom"/>
          </w:tcPr>
          <w:p>
            <w:pPr>
              <w:spacing w:after="0"/>
              <w:rPr>
                <w:sz w:val="20"/>
                <w:szCs w:val="20"/>
                <w:color w:val="auto"/>
              </w:rPr>
            </w:pPr>
          </w:p>
        </w:tc>
      </w:tr>
      <w:tr>
        <w:trPr>
          <w:trHeight w:val="191"/>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Ordinary</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Ordinary</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Ordinary</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Name of Selling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Securityholder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240" w:type="dxa"/>
            <w:vAlign w:val="bottom"/>
          </w:tcPr>
          <w:p>
            <w:pPr>
              <w:spacing w:after="0"/>
              <w:rPr>
                <w:sz w:val="20"/>
                <w:szCs w:val="20"/>
                <w:color w:val="auto"/>
              </w:rPr>
            </w:pPr>
          </w:p>
        </w:tc>
        <w:tc>
          <w:tcPr>
            <w:tcW w:w="1220" w:type="dxa"/>
            <w:vAlign w:val="bottom"/>
          </w:tcPr>
          <w:p>
            <w:pPr>
              <w:ind w:left="100"/>
              <w:spacing w:after="0" w:line="235" w:lineRule="exact"/>
              <w:rPr>
                <w:sz w:val="20"/>
                <w:szCs w:val="20"/>
                <w:color w:val="auto"/>
              </w:rPr>
            </w:pPr>
            <w:r>
              <w:rPr>
                <w:rFonts w:ascii="Arial" w:cs="Arial" w:eastAsia="Arial" w:hAnsi="Arial"/>
                <w:sz w:val="17"/>
                <w:szCs w:val="17"/>
                <w:b w:val="1"/>
                <w:bCs w:val="1"/>
                <w:color w:val="auto"/>
                <w:w w:val="96"/>
              </w:rPr>
              <w:t>Percentage</w:t>
            </w:r>
            <w:r>
              <w:rPr>
                <w:rFonts w:ascii="Arial" w:cs="Arial" w:eastAsia="Arial" w:hAnsi="Arial"/>
                <w:sz w:val="27"/>
                <w:szCs w:val="27"/>
                <w:b w:val="1"/>
                <w:bCs w:val="1"/>
                <w:color w:val="auto"/>
                <w:w w:val="96"/>
                <w:vertAlign w:val="superscript"/>
              </w:rPr>
              <w:t>(1)</w:t>
            </w:r>
          </w:p>
        </w:tc>
        <w:tc>
          <w:tcPr>
            <w:tcW w:w="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240" w:type="dxa"/>
            <w:vAlign w:val="bottom"/>
          </w:tcPr>
          <w:p>
            <w:pPr>
              <w:spacing w:after="0"/>
              <w:rPr>
                <w:sz w:val="20"/>
                <w:szCs w:val="20"/>
                <w:color w:val="auto"/>
              </w:rPr>
            </w:pPr>
          </w:p>
        </w:tc>
        <w:tc>
          <w:tcPr>
            <w:tcW w:w="1220" w:type="dxa"/>
            <w:vAlign w:val="bottom"/>
          </w:tcPr>
          <w:p>
            <w:pPr>
              <w:ind w:left="100"/>
              <w:spacing w:after="0" w:line="235" w:lineRule="exact"/>
              <w:rPr>
                <w:sz w:val="20"/>
                <w:szCs w:val="20"/>
                <w:color w:val="auto"/>
              </w:rPr>
            </w:pPr>
            <w:r>
              <w:rPr>
                <w:rFonts w:ascii="Arial" w:cs="Arial" w:eastAsia="Arial" w:hAnsi="Arial"/>
                <w:sz w:val="17"/>
                <w:szCs w:val="17"/>
                <w:b w:val="1"/>
                <w:bCs w:val="1"/>
                <w:color w:val="auto"/>
                <w:w w:val="96"/>
              </w:rPr>
              <w:t>Percentage</w:t>
            </w:r>
            <w:r>
              <w:rPr>
                <w:rFonts w:ascii="Arial" w:cs="Arial" w:eastAsia="Arial" w:hAnsi="Arial"/>
                <w:sz w:val="27"/>
                <w:szCs w:val="27"/>
                <w:b w:val="1"/>
                <w:bCs w:val="1"/>
                <w:color w:val="auto"/>
                <w:w w:val="96"/>
                <w:vertAlign w:val="superscript"/>
              </w:rPr>
              <w:t>(1)</w:t>
            </w:r>
          </w:p>
        </w:tc>
        <w:tc>
          <w:tcPr>
            <w:tcW w:w="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00" w:type="dxa"/>
            <w:vAlign w:val="bottom"/>
          </w:tcPr>
          <w:p>
            <w:pPr>
              <w:spacing w:after="0"/>
              <w:rPr>
                <w:sz w:val="20"/>
                <w:szCs w:val="20"/>
                <w:color w:val="auto"/>
              </w:rPr>
            </w:pPr>
          </w:p>
        </w:tc>
      </w:tr>
      <w:tr>
        <w:trPr>
          <w:trHeight w:val="210"/>
        </w:trPr>
        <w:tc>
          <w:tcPr>
            <w:tcW w:w="24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5"/>
                <w:szCs w:val="15"/>
                <w:color w:val="auto"/>
              </w:rPr>
              <w:t xml:space="preserve">Kunlun Tech Limited </w:t>
            </w:r>
            <w:r>
              <w:rPr>
                <w:rFonts w:ascii="Arial" w:cs="Arial" w:eastAsia="Arial" w:hAnsi="Arial"/>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128,020,286</w:t>
            </w:r>
          </w:p>
        </w:tc>
        <w:tc>
          <w:tcPr>
            <w:tcW w:w="2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128,020,286</w:t>
            </w:r>
          </w:p>
        </w:tc>
        <w:tc>
          <w:tcPr>
            <w:tcW w:w="2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390"/>
        </w:trPr>
        <w:tc>
          <w:tcPr>
            <w:tcW w:w="2580" w:type="dxa"/>
            <w:vAlign w:val="bottom"/>
            <w:gridSpan w:val="2"/>
          </w:tcPr>
          <w:p>
            <w:pPr>
              <w:spacing w:after="0"/>
              <w:rPr>
                <w:sz w:val="20"/>
                <w:szCs w:val="20"/>
                <w:color w:val="auto"/>
              </w:rPr>
            </w:pPr>
            <w:r>
              <w:rPr>
                <w:rFonts w:ascii="Arial" w:cs="Arial" w:eastAsia="Arial" w:hAnsi="Arial"/>
                <w:sz w:val="18"/>
                <w:szCs w:val="18"/>
                <w:color w:val="auto"/>
                <w:w w:val="96"/>
              </w:rPr>
              <w:t xml:space="preserve">Keeneyes Future Holding Inc. </w:t>
            </w:r>
            <w:r>
              <w:rPr>
                <w:rFonts w:ascii="Arial" w:cs="Arial" w:eastAsia="Arial" w:hAnsi="Arial"/>
                <w:sz w:val="29"/>
                <w:szCs w:val="29"/>
                <w:color w:val="auto"/>
                <w:w w:val="96"/>
                <w:vertAlign w:val="superscript"/>
              </w:rPr>
              <w:t>(3)</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13,753,012</w:t>
            </w:r>
          </w:p>
        </w:tc>
        <w:tc>
          <w:tcPr>
            <w:tcW w:w="1460" w:type="dxa"/>
            <w:vAlign w:val="bottom"/>
            <w:gridSpan w:val="2"/>
          </w:tcPr>
          <w:p>
            <w:pPr>
              <w:jc w:val="right"/>
              <w:ind w:right="333"/>
              <w:spacing w:after="0"/>
              <w:rPr>
                <w:sz w:val="20"/>
                <w:szCs w:val="20"/>
                <w:color w:val="auto"/>
              </w:rPr>
            </w:pPr>
            <w:r>
              <w:rPr>
                <w:rFonts w:ascii="Arial" w:cs="Arial" w:eastAsia="Arial" w:hAnsi="Arial"/>
                <w:sz w:val="18"/>
                <w:szCs w:val="18"/>
                <w:color w:val="auto"/>
              </w:rPr>
              <w:t>7.6%</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13,753,012</w:t>
            </w:r>
          </w:p>
        </w:tc>
        <w:tc>
          <w:tcPr>
            <w:tcW w:w="1460" w:type="dxa"/>
            <w:vAlign w:val="bottom"/>
            <w:gridSpan w:val="2"/>
          </w:tcPr>
          <w:p>
            <w:pPr>
              <w:jc w:val="right"/>
              <w:ind w:right="333"/>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r>
    </w:tbl>
    <w:p>
      <w:pPr>
        <w:spacing w:after="0" w:line="2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179,826,936 ordinary shares of the Company issued and outstanding as of July 14, 2023.</w:t>
      </w:r>
    </w:p>
    <w:p>
      <w:pPr>
        <w:spacing w:after="0" w:line="252"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125,666,666 ordinary shares and 1,176,810 ADSs held by Kunlun Tech Limited, a limited liability company incorporated in Hong Kong. The equity interest of Kunlun Tech Limited is 68.03% owned by Kunlun Group Limited, a company incorporated in Hong Kong and wholly owned by Kunlun Tech Co., Ltd., and 31.97% owned directly by Kunlun Tech Co., Ltd., a company incorporated in the People’s Republic of China, in which Mr. Zhou is the controlling shareholder. As of the date of this prospectus, Mr. Zhou directly holds 12.2% of the equity interest and indirectly holds 16.0% of the equity interest of Kunlun Tech Co., Ltd. through Xinyu Yingrui Century Software R&amp;D Center L.P., a limited partnership established in the People’s Republic of China, or Xinyu Yingrui, which is co-owned by Mr. Zhou and his ex-wife. Mr. Zhou, holds 54.8% of the equity interest of Xinyu Yingrui and, as the general partner, has sole decision making authority in terms of how the partnership exercises its ownership rights in Kunlun Tech Co., Ltd.</w:t>
      </w:r>
    </w:p>
    <w:p>
      <w:pPr>
        <w:spacing w:after="0" w:line="21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6,876,506 ADSs held by Keeneyes Future Holding Inc., an exempted company established in the Cayman Islands. Keeneyes Future Holding Inc.is wholly owned by Perfect Fortune Consultancy Limited, a company limited by shares incorporated in the British Virgin Islands. Perfect Fortune Consultancy Limited is controlled by The Prosperity Trust, with Trident Trust Company (HK) Limited as the trustee and Mr. Zhou as the settlor and beneficiary.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13"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and the selling securityholders may sell or distribute the securities offered by this prospectus, from time to time, in one or more offerings,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or through dealers or underwriters;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52"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with respect to the securities may state or supplement the terms of the offering of the securities.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In some cases, we or dealers acting for us or the selling securityholders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securities distributed by any of these methods may be sold to the public, in one or more transactions, either:</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or the selling securityholders will sell the securities to them as principals. They may then resell those securities to the public at varying prices determined by the dealers at the time of resale. The applicable prospectus supplement will include the names of the dealers and the terms of the transaction.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and the selling securityholders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will agree to use its commonly reasonable efforts to solicit purchases for the period of its appointment. We and the selling securityholders may sell the securities directly to institutional investors or others who may be deemed to be underwriters within the meaning of the Securities Act with respect to any sale of those shares. The terms of any such sales will be described in the applicable prospectus supplement.</w:t>
      </w:r>
    </w:p>
    <w:p>
      <w:pPr>
        <w:spacing w:after="0" w:line="16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Offered securities may be sold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supplement relating to that offering. Unless otherwise specified in connection with a particular offering of securities, any such agent will be acting on a best efforts basis for the period of its appointment.</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one of the means of direct issuance of offered securities, we and the selling securityholders may utilize the services of an entity through which it may conduct an electronic “dutch auction” or similar offering of the offered securities among potential purchasers who are eligible to participate in the auction or offering of such offered securities, if so described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the applicable prospectus supplement indicates, we or the selling securityholders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w:t>
      </w:r>
      <w:r>
        <w:rPr>
          <w:rFonts w:ascii="Arial" w:cs="Arial" w:eastAsia="Arial" w:hAnsi="Arial"/>
          <w:sz w:val="18"/>
          <w:szCs w:val="18"/>
          <w:color w:val="auto"/>
        </w:rPr>
        <w:t>,</w:t>
      </w:r>
      <w:r>
        <w:rPr>
          <w:rFonts w:ascii="Arial" w:cs="Arial" w:eastAsia="Arial" w:hAnsi="Arial"/>
          <w:sz w:val="18"/>
          <w:szCs w:val="18"/>
          <w:b w:val="1"/>
          <w:bCs w:val="1"/>
          <w:color w:val="auto"/>
        </w:rPr>
        <w:t xml:space="preserve"> Stabilization and Other Transactions</w:t>
      </w:r>
    </w:p>
    <w:p>
      <w:pPr>
        <w:spacing w:after="0" w:line="229"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Unless the applicable prospectus supplement states otherwise or the securities are offered by the selling securityholder, each series of offered securities will be a new issue and will have no established trading market. We may elect to list any series of offered securities on an exchange. Any underwriters that we and the selling securityholders use in the sale of offered securities may make a market in such securities, but may discontinue such market making at any time without notice. Therefore, we cannot assure you that the securities will have a liquid trading market.</w:t>
      </w:r>
    </w:p>
    <w:p>
      <w:pPr>
        <w:spacing w:after="0" w:line="15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underwriter may also engage in stabilizing transactions, syndicate covering transactions and penalty bids in accordance with Rule 104 under the Securities Exchange Act of 1934, as amended, or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7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the selling securityholder, the underwriters or other agents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or the selling securityholders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the selling securityholders or others (or, in the case of derivatives, securities received from us or the selling securityholders in settlement of those derivatives) to directly or indirectly settle sales of the securities or close out any related open borrowings of the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of Securities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or the selling securityholders may loan or pledge securities to a financial institution or other third parties that in turn may sell the securities using this prospectus and an applicable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Underwriters, dealers and agents may be entitled, under agreements with us, to indemnification by us relating to material misstatements and omissions in our offering documents. Underwriters, dealers and agents may engage in transactions with, or perform services for, us in their ordinary course of business.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Except for securities issued upon a reopening of a previous series or the securities offered by the selling securities, each series of offered securities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securities exchange. No assurance can be given that there will be a market for the offered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9" w:name="page50"/>
    <w:bookmarkEnd w:id="49"/>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validity of the debt securities and warrants offered by this prospectus, to the extent governed by the laws of the State of New York, will be passed upon for us by Milbank LLP, our special United States counsel. The validity of the shares and preferred shares, to the extent governed by Cayman Islands law, will be passed upon for us by Maples and Calder (Hong Kong) LLP, our legal counsel as to Cayman Islands law. Legal matters as to Norway law will be passed upon for us by Wikborg Rein Advokatfirma, our counsel as to Norway law.</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50" w:name="page51"/>
    <w:bookmarkEnd w:id="50"/>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consolidated financial statements of Opera Limited as of December 31, 2022 and 2021, and for each of the years in the three-year period ended December 31, 2022, have been incorporated by reference herein and in the registration statement in reliance upon the report of KPMG AS, independent registered public accounting firm, incorporated by reference herein, and upon the authority of said firm as experts in accounting and auditing.</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51" w:name="page52"/>
    <w:bookmarkEnd w:id="51"/>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Second M&amp;A, to the fullest extent permissible under Cayman Islands law every director and officer of our company shall be indemnified against all actions, proceedings, costs, charges, expenses, losses, damages or liabilities incurred or sustained by him, other than by reason of such person’s own dishonesty, willful default or fraud,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78"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Furthermore, we have entered into indemnification agreements with our directors and officers, a form of which has been filed as Exhibit 10.2 to our registration statement on Form F-1, pursuant to which we have agreed to indemnify our directors and officers against certain liabilities and expenses that they incur in connection with claims made by reason of their being a director or officer of our company.</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underwriting agreement entered into in connection with an offering of securities will also provide for indemnification of us and our officers and directors in certain cases.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exhibits to this registration statement are listed on the Index to Exhibits to this registration statement, which Index to Exhibits is hereby incorporated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1880" w:hanging="576"/>
        <w:spacing w:after="0"/>
        <w:tabs>
          <w:tab w:leader="none" w:pos="1880" w:val="left"/>
        </w:tabs>
        <w:numPr>
          <w:ilvl w:val="2"/>
          <w:numId w:val="29"/>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or the Securities Act;</w:t>
      </w:r>
    </w:p>
    <w:p>
      <w:pPr>
        <w:spacing w:after="0" w:line="236" w:lineRule="exact"/>
        <w:rPr>
          <w:rFonts w:ascii="Arial" w:cs="Arial" w:eastAsia="Arial" w:hAnsi="Arial"/>
          <w:sz w:val="17"/>
          <w:szCs w:val="17"/>
          <w:color w:val="auto"/>
        </w:rPr>
      </w:pPr>
    </w:p>
    <w:p>
      <w:pPr>
        <w:ind w:left="660" w:right="20" w:firstLine="644"/>
        <w:spacing w:after="0" w:line="254" w:lineRule="auto"/>
        <w:tabs>
          <w:tab w:leader="none" w:pos="1884"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660" w:firstLine="644"/>
        <w:spacing w:after="0" w:line="277" w:lineRule="auto"/>
        <w:tabs>
          <w:tab w:leader="none" w:pos="1893"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07" w:right="459" w:bottom="1440" w:gutter="0" w:footer="0" w:header="0"/>
        </w:sectPr>
      </w:pPr>
    </w:p>
    <w:bookmarkStart w:id="52" w:name="page53"/>
    <w:bookmarkEnd w:id="52"/>
    <w:p>
      <w:pPr>
        <w:ind w:left="640"/>
        <w:spacing w:after="0" w:line="25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registration statement is on Form F-3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required to be included in a post-effective amendment by those paragraphs is contained in periodic reports filed with or furnished to the SEC by the registrant pursuant to Section 13 or Section 15(d) of the Securities Exchange Act of 1934, as amended, or Exchange Act, that are incorporated by reference in the registration statement, or is contained in a form of prospectus filed pursuant to Rule 424(b) that is part of the registration statement.</w:t>
      </w:r>
    </w:p>
    <w:p>
      <w:pPr>
        <w:spacing w:after="0" w:line="188" w:lineRule="exact"/>
        <w:rPr>
          <w:sz w:val="20"/>
          <w:szCs w:val="20"/>
          <w:color w:val="auto"/>
        </w:rPr>
      </w:pPr>
    </w:p>
    <w:p>
      <w:pPr>
        <w:ind w:left="-20" w:right="20" w:firstLine="656"/>
        <w:spacing w:after="0" w:line="263" w:lineRule="auto"/>
        <w:tabs>
          <w:tab w:leader="none" w:pos="12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20" w:right="260" w:firstLine="656"/>
        <w:spacing w:after="0" w:line="277" w:lineRule="auto"/>
        <w:tabs>
          <w:tab w:leader="none" w:pos="12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0" w:right="20" w:firstLine="656"/>
        <w:spacing w:after="0" w:line="271" w:lineRule="auto"/>
        <w:tabs>
          <w:tab w:leader="none" w:pos="128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Exchange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Exchange Act or Rule 3-19 of Regulation S-K if such financial statements and information are contained in periodic reports filed with or furnished to the SEC by the registrant pursuant to Section 13 or Section 15(d) of the Exchange Act that are incorporated by reference in this Form F-3.</w:t>
      </w:r>
    </w:p>
    <w:p>
      <w:pPr>
        <w:spacing w:after="0" w:line="178" w:lineRule="exact"/>
        <w:rPr>
          <w:rFonts w:ascii="Arial" w:cs="Arial" w:eastAsia="Arial" w:hAnsi="Arial"/>
          <w:sz w:val="17"/>
          <w:szCs w:val="17"/>
          <w:color w:val="auto"/>
        </w:rPr>
      </w:pPr>
    </w:p>
    <w:p>
      <w:pPr>
        <w:ind w:left="1300" w:hanging="66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640" w:right="260" w:firstLine="644"/>
        <w:spacing w:after="0" w:line="277" w:lineRule="auto"/>
        <w:tabs>
          <w:tab w:leader="none" w:pos="18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640" w:right="40" w:firstLine="644"/>
        <w:spacing w:after="0" w:line="287" w:lineRule="auto"/>
        <w:tabs>
          <w:tab w:leader="none" w:pos="186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53" w:name="page54"/>
    <w:bookmarkEnd w:id="53"/>
    <w:p>
      <w:pPr>
        <w:ind w:left="1320" w:hanging="664"/>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300" w:hanging="644"/>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rFonts w:ascii="Arial" w:cs="Arial" w:eastAsia="Arial" w:hAnsi="Arial"/>
          <w:sz w:val="18"/>
          <w:szCs w:val="18"/>
          <w:color w:val="auto"/>
        </w:rPr>
      </w:pPr>
    </w:p>
    <w:p>
      <w:pPr>
        <w:ind w:firstLine="8"/>
        <w:spacing w:after="0" w:line="271" w:lineRule="auto"/>
        <w:tabs>
          <w:tab w:leader="none" w:pos="69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rFonts w:ascii="Arial" w:cs="Arial" w:eastAsia="Arial" w:hAnsi="Arial"/>
          <w:sz w:val="17"/>
          <w:szCs w:val="17"/>
          <w:color w:val="auto"/>
        </w:rPr>
      </w:pPr>
    </w:p>
    <w:p>
      <w:pPr>
        <w:jc w:val="both"/>
        <w:ind w:firstLine="8"/>
        <w:spacing w:after="0" w:line="259" w:lineRule="auto"/>
        <w:tabs>
          <w:tab w:leader="none" w:pos="6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right="360" w:firstLine="8"/>
        <w:spacing w:after="0" w:line="263" w:lineRule="auto"/>
        <w:tabs>
          <w:tab w:leader="none" w:pos="6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of 1939, as amended, or the Act, in accordance with the rules and regulations prescribed by the Commission under section 305(b)(2) of the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960" w:type="dxa"/>
            <w:vAlign w:val="bottom"/>
            <w:gridSpan w:val="12"/>
          </w:tcPr>
          <w:p>
            <w:pPr>
              <w:ind w:left="44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34"/>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425"/>
        </w:trPr>
        <w:tc>
          <w:tcPr>
            <w:tcW w:w="1020" w:type="dxa"/>
            <w:vAlign w:val="bottom"/>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Form of Underwriting Agreement</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Second Amended and Restated Memorandum and Articles of Association of the Registrant, as currently in effect (incorporated by reference</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to Exhibit 3.2 from our registration statement on Amendment No. 1 to Form F-1 (File No. 333-226017) filed publicly with the SEC on July</w:t>
              </w:r>
            </w:hyperlink>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00" w:type="dxa"/>
            <w:vAlign w:val="bottom"/>
            <w:gridSpan w:val="3"/>
          </w:tcPr>
          <w:p>
            <w:pPr>
              <w:ind w:left="120"/>
              <w:spacing w:after="0" w:line="196" w:lineRule="exact"/>
              <w:rPr>
                <w:rFonts w:ascii="Arial" w:cs="Arial" w:eastAsia="Arial" w:hAnsi="Arial"/>
                <w:sz w:val="18"/>
                <w:szCs w:val="18"/>
                <w:color w:val="0000EE"/>
                <w:w w:val="86"/>
              </w:rPr>
            </w:pPr>
            <w:hyperlink r:id="rId75">
              <w:r>
                <w:rPr>
                  <w:rFonts w:ascii="Arial" w:cs="Arial" w:eastAsia="Arial" w:hAnsi="Arial"/>
                  <w:sz w:val="18"/>
                  <w:szCs w:val="18"/>
                  <w:color w:val="0000EE"/>
                  <w:w w:val="86"/>
                </w:rPr>
                <w:t>13, 2018)</w:t>
              </w:r>
            </w:hyperlink>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15"/>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Registrant’s Specimen Certificate for Ordinary Shares (incorporated by reference to Exhibit 4.2 from our registration statement on Form F-1</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(File No. 333-226017) filed publicly with the SEC on June 29, 2018)</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Form of Deposit Agreement among the registrant, the depositary and owners and holders of the ADSs (incorporated by reference to Exhibit</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4.</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from our registration statement on Amendment No. 2 to Form F-1 (File No. 333-226017) filed publicly with the SEC on July 23, 2018)</w:t>
              </w:r>
            </w:hyperlink>
          </w:p>
        </w:tc>
        <w:tc>
          <w:tcPr>
            <w:tcW w:w="20" w:type="dxa"/>
            <w:vAlign w:val="bottom"/>
            <w:tcBorders>
              <w:top w:val="single" w:sz="8" w:color="0000EE"/>
            </w:tcBorders>
          </w:tcPr>
          <w:p>
            <w:pPr>
              <w:spacing w:after="0"/>
              <w:rPr>
                <w:sz w:val="17"/>
                <w:szCs w:val="17"/>
                <w:color w:val="auto"/>
              </w:rPr>
            </w:pPr>
          </w:p>
        </w:tc>
        <w:tc>
          <w:tcPr>
            <w:tcW w:w="8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r:id="rId77">
              <w:r>
                <w:rPr>
                  <w:rFonts w:ascii="Arial" w:cs="Arial" w:eastAsia="Arial" w:hAnsi="Arial"/>
                  <w:sz w:val="18"/>
                  <w:szCs w:val="18"/>
                  <w:color w:val="0000EE"/>
                </w:rPr>
                <w:t>Form American Depositary Receipt (included in Exhibit 4.2)</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Specimen Preferred Share Certificate and Form of Certificate of Designations of Preferred Shares</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Form of Indenture</w:t>
            </w:r>
          </w:p>
        </w:tc>
        <w:tc>
          <w:tcPr>
            <w:tcW w:w="8780" w:type="dxa"/>
            <w:vAlign w:val="bottom"/>
            <w:gridSpan w:val="13"/>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Form of Debt Security</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Form of Warrant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Form of Warrant Agreement</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0000EE"/>
              </w:rPr>
              <w:t>Opinion of Maples and Calder (Hong Kong) LLP regarding the validity of the securities</w:t>
            </w: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Opinion of Milbank LLP regarding the validity of the securities</w:t>
            </w:r>
          </w:p>
        </w:tc>
        <w:tc>
          <w:tcPr>
            <w:tcW w:w="3780" w:type="dxa"/>
            <w:vAlign w:val="bottom"/>
            <w:gridSpan w:val="4"/>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Opinion of Maples and Calder (Hong Kong) LLP regarding certain tax matters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Opinion of Wikborg Rein Advokatfirma AS regarding certain tax matters</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Consent of KPMG AS, Independent Registered Public Accounting Firm</w:t>
            </w:r>
          </w:p>
        </w:tc>
        <w:tc>
          <w:tcPr>
            <w:tcW w:w="4920" w:type="dxa"/>
            <w:vAlign w:val="bottom"/>
            <w:gridSpan w:val="6"/>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0000EE"/>
              </w:rPr>
              <w:t>Consent of Maples and Calder (Hong Kong) LLP (included in Exhibit 5.1)</w:t>
            </w: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Consent of Milbank LLP (included in Exhibit 5.2)</w:t>
            </w:r>
          </w:p>
        </w:tc>
        <w:tc>
          <w:tcPr>
            <w:tcW w:w="4740" w:type="dxa"/>
            <w:vAlign w:val="bottom"/>
            <w:gridSpan w:val="5"/>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Consent of Wikborg Rein Advokatfirma AS</w:t>
            </w:r>
          </w:p>
        </w:tc>
        <w:tc>
          <w:tcPr>
            <w:tcW w:w="6500" w:type="dxa"/>
            <w:vAlign w:val="bottom"/>
            <w:gridSpan w:val="11"/>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Powers of Attorney (included as part of signature page)</w:t>
            </w:r>
          </w:p>
        </w:tc>
        <w:tc>
          <w:tcPr>
            <w:tcW w:w="6120" w:type="dxa"/>
            <w:vAlign w:val="bottom"/>
            <w:gridSpan w:val="10"/>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w w:val="92"/>
              </w:rPr>
              <w:t>Form T-1 Statement of Eligibility and Qualification under the Trust Indenture Act of 1939, as amended, of the Trustee under the Indenture</w:t>
            </w:r>
          </w:p>
        </w:tc>
      </w:tr>
    </w:tbl>
    <w:p>
      <w:pPr>
        <w:spacing w:after="0" w:line="202" w:lineRule="exact"/>
        <w:rPr>
          <w:sz w:val="20"/>
          <w:szCs w:val="20"/>
          <w:color w:val="auto"/>
        </w:rPr>
      </w:pPr>
    </w:p>
    <w:p>
      <w:pPr>
        <w:ind w:left="1140" w:hanging="113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0000EE"/>
        </w:rPr>
        <w:t>Calculation of Filling Fee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12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1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as an exhibit to a post-effective amendment to this registration statement or as an exhibit to a report filed under the Exchange Act and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Norway, on July 14, 2023.</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Opera Limited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5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c>
          <w:tcPr>
            <w:tcW w:w="1320" w:type="dxa"/>
            <w:vAlign w:val="bottom"/>
          </w:tcPr>
          <w:p>
            <w:pPr>
              <w:spacing w:after="0"/>
              <w:rPr>
                <w:sz w:val="20"/>
                <w:szCs w:val="20"/>
                <w:color w:val="auto"/>
              </w:rPr>
            </w:pPr>
          </w:p>
        </w:tc>
      </w:tr>
      <w:tr>
        <w:trPr>
          <w:trHeight w:val="195"/>
        </w:trPr>
        <w:tc>
          <w:tcPr>
            <w:tcW w:w="6280" w:type="dxa"/>
            <w:vAlign w:val="bottom"/>
          </w:tcPr>
          <w:p>
            <w:pPr>
              <w:ind w:left="5540"/>
              <w:spacing w:after="0" w:line="195"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Yahui Zhou</w:t>
            </w:r>
          </w:p>
        </w:tc>
        <w:tc>
          <w:tcPr>
            <w:tcW w:w="1320" w:type="dxa"/>
            <w:vAlign w:val="bottom"/>
          </w:tcPr>
          <w:p>
            <w:pPr>
              <w:spacing w:after="0"/>
              <w:rPr>
                <w:sz w:val="16"/>
                <w:szCs w:val="16"/>
                <w:color w:val="auto"/>
              </w:rPr>
            </w:pPr>
          </w:p>
        </w:tc>
      </w:tr>
      <w:tr>
        <w:trPr>
          <w:trHeight w:val="216"/>
        </w:trPr>
        <w:tc>
          <w:tcPr>
            <w:tcW w:w="6280" w:type="dxa"/>
            <w:vAlign w:val="bottom"/>
          </w:tcPr>
          <w:p>
            <w:pPr>
              <w:ind w:left="55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of the Board and Chief Executive</w:t>
            </w:r>
          </w:p>
        </w:tc>
        <w:tc>
          <w:tcPr>
            <w:tcW w:w="132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Officer</w:t>
            </w:r>
          </w:p>
        </w:tc>
        <w:tc>
          <w:tcPr>
            <w:tcW w:w="1320" w:type="dxa"/>
            <w:vAlign w:val="bottom"/>
          </w:tcPr>
          <w:p>
            <w:pPr>
              <w:spacing w:after="0"/>
              <w:rPr>
                <w:sz w:val="20"/>
                <w:szCs w:val="20"/>
                <w:color w:val="auto"/>
              </w:rPr>
            </w:pPr>
          </w:p>
        </w:tc>
      </w:tr>
      <w:tr>
        <w:trPr>
          <w:trHeight w:val="432"/>
        </w:trPr>
        <w:tc>
          <w:tcPr>
            <w:tcW w:w="6280" w:type="dxa"/>
            <w:vAlign w:val="bottom"/>
          </w:tcPr>
          <w:p>
            <w:pPr>
              <w:ind w:left="5480"/>
              <w:spacing w:after="0"/>
              <w:rPr>
                <w:sz w:val="20"/>
                <w:szCs w:val="20"/>
                <w:color w:val="auto"/>
              </w:rPr>
            </w:pPr>
            <w:r>
              <w:rPr>
                <w:rFonts w:ascii="Arial" w:cs="Arial" w:eastAsia="Arial" w:hAnsi="Arial"/>
                <w:sz w:val="18"/>
                <w:szCs w:val="18"/>
                <w:color w:val="auto"/>
              </w:rPr>
              <w:t>II-5</w:t>
            </w:r>
          </w:p>
        </w:tc>
        <w:tc>
          <w:tcPr>
            <w:tcW w:w="3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28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Yahui Zhou and Frode Jacobsen as an attorney-in-fact with full power of substitution, for him in any and all capacities, to do any and all acts and all things and to execute any and all instruments which said attorney and agent may deem necessary or desirable to enable the registrant to comply with the Securities Act of 1933, as amended, or the Securities Act, and any rules, regulations and requirements of the Securities and Exchange Commission thereunder, in connection with the registration under the Securities Act of ordinary shares of the registrant, or the Shares, including, without limitation, the power and authority to sign the name of each of the undersigned in the capacities indicated below to the Registration Statement on Form F-3, or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7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July 14,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6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Title</w:t>
            </w:r>
          </w:p>
        </w:tc>
        <w:tc>
          <w:tcPr>
            <w:tcW w:w="560" w:type="dxa"/>
            <w:vAlign w:val="bottom"/>
          </w:tcPr>
          <w:p>
            <w:pPr>
              <w:spacing w:after="0"/>
              <w:rPr>
                <w:sz w:val="20"/>
                <w:szCs w:val="20"/>
                <w:color w:val="auto"/>
              </w:rPr>
            </w:pPr>
          </w:p>
        </w:tc>
      </w:tr>
      <w:tr>
        <w:trPr>
          <w:trHeight w:val="210"/>
        </w:trPr>
        <w:tc>
          <w:tcPr>
            <w:tcW w:w="3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Yahui Zhou</w:t>
            </w:r>
          </w:p>
        </w:tc>
        <w:tc>
          <w:tcPr>
            <w:tcW w:w="120" w:type="dxa"/>
            <w:vAlign w:val="bottom"/>
          </w:tcPr>
          <w:p>
            <w:pPr>
              <w:spacing w:after="0"/>
              <w:rPr>
                <w:sz w:val="18"/>
                <w:szCs w:val="18"/>
                <w:color w:val="auto"/>
              </w:rPr>
            </w:pPr>
          </w:p>
        </w:tc>
        <w:tc>
          <w:tcPr>
            <w:tcW w:w="6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of the Board and Chief Executive Officer</w:t>
            </w:r>
          </w:p>
        </w:tc>
        <w:tc>
          <w:tcPr>
            <w:tcW w:w="560" w:type="dxa"/>
            <w:vAlign w:val="bottom"/>
          </w:tcPr>
          <w:p>
            <w:pPr>
              <w:spacing w:after="0"/>
              <w:rPr>
                <w:sz w:val="18"/>
                <w:szCs w:val="18"/>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Yahui Zhou</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Frode Jacobsen</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4"/>
                <w:szCs w:val="2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Frode Jacobsen</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56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 Song</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Director and Co-Chief Executive Officer</w:t>
            </w:r>
          </w:p>
        </w:tc>
        <w:tc>
          <w:tcPr>
            <w:tcW w:w="560" w:type="dxa"/>
            <w:vAlign w:val="bottom"/>
          </w:tcPr>
          <w:p>
            <w:pPr>
              <w:spacing w:after="0"/>
              <w:rPr>
                <w:sz w:val="24"/>
                <w:szCs w:val="2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Lin Song</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Xiaoling Qian</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Xiaoling Qian</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Jin</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Tian Jin</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Liu</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c>
          <w:tcPr>
            <w:tcW w:w="560" w:type="dxa"/>
            <w:vAlign w:val="bottom"/>
          </w:tcPr>
          <w:p>
            <w:pPr>
              <w:spacing w:after="0"/>
              <w:rPr>
                <w:sz w:val="24"/>
                <w:szCs w:val="2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James Liu</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Wheeler Næss</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c>
          <w:tcPr>
            <w:tcW w:w="560" w:type="dxa"/>
            <w:vAlign w:val="bottom"/>
          </w:tcPr>
          <w:p>
            <w:pPr>
              <w:spacing w:after="0"/>
              <w:rPr>
                <w:sz w:val="24"/>
                <w:szCs w:val="2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Lori Wheeler Næss</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Trond Riiber Knudsen</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c>
          <w:tcPr>
            <w:tcW w:w="560" w:type="dxa"/>
            <w:vAlign w:val="bottom"/>
          </w:tcPr>
          <w:p>
            <w:pPr>
              <w:spacing w:after="0"/>
              <w:rPr>
                <w:sz w:val="24"/>
                <w:szCs w:val="2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Name: Trond Riiber Knudsens</w:t>
            </w:r>
          </w:p>
        </w:tc>
        <w:tc>
          <w:tcPr>
            <w:tcW w:w="1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20" w:type="dxa"/>
            <w:vAlign w:val="bottom"/>
          </w:tcPr>
          <w:p>
            <w:pPr>
              <w:ind w:left="1620"/>
              <w:spacing w:after="0"/>
              <w:rPr>
                <w:sz w:val="20"/>
                <w:szCs w:val="20"/>
                <w:color w:val="auto"/>
              </w:rPr>
            </w:pPr>
            <w:r>
              <w:rPr>
                <w:rFonts w:ascii="Arial" w:cs="Arial" w:eastAsia="Arial" w:hAnsi="Arial"/>
                <w:sz w:val="18"/>
                <w:szCs w:val="18"/>
                <w:color w:val="auto"/>
              </w:rPr>
              <w:t>II-6</w:t>
            </w:r>
          </w:p>
        </w:tc>
        <w:tc>
          <w:tcPr>
            <w:tcW w:w="560" w:type="dxa"/>
            <w:vAlign w:val="bottom"/>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7" w:name="page58"/>
    <w:bookmarkEnd w:id="57"/>
    <w:p>
      <w:pPr>
        <w:jc w:val="center"/>
        <w:ind w:right="-79"/>
        <w:spacing w:after="0"/>
        <w:rPr>
          <w:sz w:val="20"/>
          <w:szCs w:val="20"/>
          <w:color w:val="auto"/>
        </w:rPr>
      </w:pPr>
      <w:r>
        <w:rPr>
          <w:rFonts w:ascii="Arial" w:cs="Arial" w:eastAsia="Arial" w:hAnsi="Arial"/>
          <w:sz w:val="18"/>
          <w:szCs w:val="18"/>
          <w:b w:val="1"/>
          <w:bCs w:val="1"/>
          <w:color w:val="auto"/>
        </w:rPr>
        <w:t>SIGNATURE OF AUTHORIZED UNITED STATES REPRESENTATIVE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Opera Limited, has signed this registration statement or amendment thereto in New York on July 14, 2023.</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Authorized U.S. Representative</w:t>
      </w:r>
    </w:p>
    <w:p>
      <w:pPr>
        <w:spacing w:after="0" w:line="211"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 Vries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Colleen A. De Vries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w w:val="98"/>
              </w:rPr>
              <w:t>Senior Vice-President on behalf of COGENCY</w:t>
            </w:r>
          </w:p>
        </w:tc>
      </w:tr>
    </w:tbl>
    <w:p>
      <w:pPr>
        <w:ind w:left="5540"/>
        <w:spacing w:after="0"/>
        <w:rPr>
          <w:sz w:val="20"/>
          <w:szCs w:val="20"/>
          <w:color w:val="auto"/>
        </w:rPr>
      </w:pPr>
      <w:r>
        <w:rPr>
          <w:rFonts w:ascii="Arial" w:cs="Arial" w:eastAsia="Arial" w:hAnsi="Arial"/>
          <w:sz w:val="18"/>
          <w:szCs w:val="18"/>
          <w:color w:val="auto"/>
        </w:rPr>
        <w:t>GLOBAL INC.</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60"/>
          </w:cols>
          <w:pgMar w:left="320" w:top="580" w:right="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Opera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INDENTURE</w:t>
      </w:r>
    </w:p>
    <w:p>
      <w:pPr>
        <w:spacing w:after="0" w:line="23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140"/>
            <w:col w:w="4960"/>
          </w:cols>
          <w:pgMar w:left="1440" w:top="121" w:right="339" w:bottom="1440" w:gutter="0" w:footer="0" w:header="0"/>
          <w:type w:val="continuous"/>
        </w:sectPr>
      </w:pPr>
    </w:p>
    <w:p>
      <w:pPr>
        <w:spacing w:after="0" w:line="363" w:lineRule="exact"/>
        <w:rPr>
          <w:sz w:val="20"/>
          <w:szCs w:val="20"/>
          <w:color w:val="auto"/>
        </w:rPr>
      </w:pPr>
    </w:p>
    <w:p>
      <w:pPr>
        <w:ind w:left="4720" w:hanging="501"/>
        <w:spacing w:after="0"/>
        <w:tabs>
          <w:tab w:leader="none" w:pos="4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511810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888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2"/>
        </w:trPr>
        <w:tc>
          <w:tcPr>
            <w:tcW w:w="158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209"/>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DEFINITIONS AND INCORPORATION BY REFERENCE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1.1</w:t>
            </w:r>
          </w:p>
        </w:tc>
        <w:tc>
          <w:tcPr>
            <w:tcW w:w="88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1.2</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Definitions.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1.3</w:t>
            </w:r>
          </w:p>
        </w:tc>
        <w:tc>
          <w:tcPr>
            <w:tcW w:w="8880" w:type="dxa"/>
            <w:vAlign w:val="bottom"/>
          </w:tcPr>
          <w:p>
            <w:pPr>
              <w:ind w:left="120"/>
              <w:spacing w:after="0"/>
              <w:rPr>
                <w:sz w:val="20"/>
                <w:szCs w:val="20"/>
                <w:color w:val="auto"/>
              </w:rPr>
            </w:pPr>
            <w:r>
              <w:rPr>
                <w:rFonts w:ascii="Arial" w:cs="Arial" w:eastAsia="Arial" w:hAnsi="Arial"/>
                <w:sz w:val="18"/>
                <w:szCs w:val="18"/>
                <w:color w:val="auto"/>
              </w:rPr>
              <w:t>Incorporation by Reference of Trust Indenture Act.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1.4</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Rules of Construction.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b w:val="1"/>
                <w:bCs w:val="1"/>
                <w:color w:val="auto"/>
              </w:rPr>
              <w:t>ARTICLE II THE SECURITIES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2.1</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Issuable in Series.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2.2</w:t>
            </w:r>
          </w:p>
        </w:tc>
        <w:tc>
          <w:tcPr>
            <w:tcW w:w="8880" w:type="dxa"/>
            <w:vAlign w:val="bottom"/>
          </w:tcPr>
          <w:p>
            <w:pPr>
              <w:ind w:left="120"/>
              <w:spacing w:after="0"/>
              <w:rPr>
                <w:sz w:val="20"/>
                <w:szCs w:val="20"/>
                <w:color w:val="auto"/>
              </w:rPr>
            </w:pPr>
            <w:r>
              <w:rPr>
                <w:rFonts w:ascii="Arial" w:cs="Arial" w:eastAsia="Arial" w:hAnsi="Arial"/>
                <w:sz w:val="18"/>
                <w:szCs w:val="18"/>
                <w:color w:val="auto"/>
              </w:rPr>
              <w:t>Establishment of Terms of Series of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2.3</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Execution and Authentication.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2.4</w:t>
            </w:r>
          </w:p>
        </w:tc>
        <w:tc>
          <w:tcPr>
            <w:tcW w:w="8880" w:type="dxa"/>
            <w:vAlign w:val="bottom"/>
          </w:tcPr>
          <w:p>
            <w:pPr>
              <w:ind w:left="120"/>
              <w:spacing w:after="0"/>
              <w:rPr>
                <w:sz w:val="20"/>
                <w:szCs w:val="20"/>
                <w:color w:val="auto"/>
              </w:rPr>
            </w:pPr>
            <w:r>
              <w:rPr>
                <w:rFonts w:ascii="Arial" w:cs="Arial" w:eastAsia="Arial" w:hAnsi="Arial"/>
                <w:sz w:val="18"/>
                <w:szCs w:val="18"/>
                <w:color w:val="auto"/>
              </w:rPr>
              <w:t>Registrar and Paying Agent.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2.5</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Paying Agent to Hold Money in Trust.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2.6</w:t>
            </w:r>
          </w:p>
        </w:tc>
        <w:tc>
          <w:tcPr>
            <w:tcW w:w="8880" w:type="dxa"/>
            <w:vAlign w:val="bottom"/>
          </w:tcPr>
          <w:p>
            <w:pPr>
              <w:ind w:left="120"/>
              <w:spacing w:after="0"/>
              <w:rPr>
                <w:sz w:val="20"/>
                <w:szCs w:val="20"/>
                <w:color w:val="auto"/>
              </w:rPr>
            </w:pPr>
            <w:r>
              <w:rPr>
                <w:rFonts w:ascii="Arial" w:cs="Arial" w:eastAsia="Arial" w:hAnsi="Arial"/>
                <w:sz w:val="18"/>
                <w:szCs w:val="18"/>
                <w:color w:val="auto"/>
              </w:rPr>
              <w:t>Security Holder Lists.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2.7</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 and Exchange.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2.8</w:t>
            </w:r>
          </w:p>
        </w:tc>
        <w:tc>
          <w:tcPr>
            <w:tcW w:w="8880" w:type="dxa"/>
            <w:vAlign w:val="bottom"/>
          </w:tcPr>
          <w:p>
            <w:pPr>
              <w:ind w:left="120"/>
              <w:spacing w:after="0"/>
              <w:rPr>
                <w:sz w:val="20"/>
                <w:szCs w:val="20"/>
                <w:color w:val="auto"/>
              </w:rPr>
            </w:pPr>
            <w:r>
              <w:rPr>
                <w:rFonts w:ascii="Arial" w:cs="Arial" w:eastAsia="Arial" w:hAnsi="Arial"/>
                <w:sz w:val="18"/>
                <w:szCs w:val="18"/>
                <w:color w:val="auto"/>
              </w:rPr>
              <w:t>Mutilated, Destroyed, Lost and Stolen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2.9</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9"/>
              </w:rPr>
              <w:t>Section 2.10</w:t>
            </w:r>
          </w:p>
        </w:tc>
        <w:tc>
          <w:tcPr>
            <w:tcW w:w="8880" w:type="dxa"/>
            <w:vAlign w:val="bottom"/>
          </w:tcPr>
          <w:p>
            <w:pPr>
              <w:ind w:left="120"/>
              <w:spacing w:after="0"/>
              <w:rPr>
                <w:sz w:val="20"/>
                <w:szCs w:val="20"/>
                <w:color w:val="auto"/>
              </w:rPr>
            </w:pPr>
            <w:r>
              <w:rPr>
                <w:rFonts w:ascii="Arial" w:cs="Arial" w:eastAsia="Arial" w:hAnsi="Arial"/>
                <w:sz w:val="18"/>
                <w:szCs w:val="18"/>
                <w:color w:val="auto"/>
              </w:rPr>
              <w:t>Treasury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Section 2.11</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Temporary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9"/>
              </w:rPr>
              <w:t>Section 2.12</w:t>
            </w:r>
          </w:p>
        </w:tc>
        <w:tc>
          <w:tcPr>
            <w:tcW w:w="888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Section 2.13</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Defaulted Interest.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9"/>
              </w:rPr>
              <w:t>Section 2.14</w:t>
            </w:r>
          </w:p>
        </w:tc>
        <w:tc>
          <w:tcPr>
            <w:tcW w:w="8880" w:type="dxa"/>
            <w:vAlign w:val="bottom"/>
          </w:tcPr>
          <w:p>
            <w:pPr>
              <w:ind w:left="120"/>
              <w:spacing w:after="0"/>
              <w:rPr>
                <w:sz w:val="20"/>
                <w:szCs w:val="20"/>
                <w:color w:val="auto"/>
              </w:rPr>
            </w:pPr>
            <w:r>
              <w:rPr>
                <w:rFonts w:ascii="Arial" w:cs="Arial" w:eastAsia="Arial" w:hAnsi="Arial"/>
                <w:sz w:val="18"/>
                <w:szCs w:val="18"/>
                <w:color w:val="auto"/>
              </w:rPr>
              <w:t>Global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Section 2.15</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CUSIP Numbers.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b w:val="1"/>
                <w:bCs w:val="1"/>
                <w:color w:val="auto"/>
              </w:rPr>
              <w:t>ARTICLE III REDEMPTION</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3.1</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to Trustee.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3.2</w:t>
            </w:r>
          </w:p>
        </w:tc>
        <w:tc>
          <w:tcPr>
            <w:tcW w:w="8880" w:type="dxa"/>
            <w:vAlign w:val="bottom"/>
          </w:tcPr>
          <w:p>
            <w:pPr>
              <w:ind w:left="120"/>
              <w:spacing w:after="0"/>
              <w:rPr>
                <w:sz w:val="20"/>
                <w:szCs w:val="20"/>
                <w:color w:val="auto"/>
              </w:rPr>
            </w:pPr>
            <w:r>
              <w:rPr>
                <w:rFonts w:ascii="Arial" w:cs="Arial" w:eastAsia="Arial" w:hAnsi="Arial"/>
                <w:sz w:val="18"/>
                <w:szCs w:val="18"/>
                <w:color w:val="auto"/>
              </w:rPr>
              <w:t>Selection of Securities to be Redeemed.</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3.3</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of Redemption.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3.4</w:t>
            </w:r>
          </w:p>
        </w:tc>
        <w:tc>
          <w:tcPr>
            <w:tcW w:w="8880" w:type="dxa"/>
            <w:vAlign w:val="bottom"/>
          </w:tcPr>
          <w:p>
            <w:pPr>
              <w:ind w:left="120"/>
              <w:spacing w:after="0"/>
              <w:rPr>
                <w:sz w:val="20"/>
                <w:szCs w:val="20"/>
                <w:color w:val="auto"/>
              </w:rPr>
            </w:pPr>
            <w:r>
              <w:rPr>
                <w:rFonts w:ascii="Arial" w:cs="Arial" w:eastAsia="Arial" w:hAnsi="Arial"/>
                <w:sz w:val="18"/>
                <w:szCs w:val="18"/>
                <w:color w:val="auto"/>
              </w:rPr>
              <w:t>Effect of Notice of Redemption.</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3.5</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 of Redemption Price.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3.6</w:t>
            </w:r>
          </w:p>
        </w:tc>
        <w:tc>
          <w:tcPr>
            <w:tcW w:w="8880" w:type="dxa"/>
            <w:vAlign w:val="bottom"/>
          </w:tcPr>
          <w:p>
            <w:pPr>
              <w:ind w:left="120"/>
              <w:spacing w:after="0"/>
              <w:rPr>
                <w:sz w:val="20"/>
                <w:szCs w:val="20"/>
                <w:color w:val="auto"/>
              </w:rPr>
            </w:pPr>
            <w:r>
              <w:rPr>
                <w:rFonts w:ascii="Arial" w:cs="Arial" w:eastAsia="Arial" w:hAnsi="Arial"/>
                <w:sz w:val="18"/>
                <w:szCs w:val="18"/>
                <w:color w:val="auto"/>
              </w:rPr>
              <w:t>Securities Redeemed in Part.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COVENANTS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4.1</w:t>
            </w:r>
          </w:p>
        </w:tc>
        <w:tc>
          <w:tcPr>
            <w:tcW w:w="8880" w:type="dxa"/>
            <w:vAlign w:val="bottom"/>
          </w:tcPr>
          <w:p>
            <w:pPr>
              <w:ind w:left="120"/>
              <w:spacing w:after="0"/>
              <w:rPr>
                <w:sz w:val="20"/>
                <w:szCs w:val="20"/>
                <w:color w:val="auto"/>
              </w:rPr>
            </w:pPr>
            <w:r>
              <w:rPr>
                <w:rFonts w:ascii="Arial" w:cs="Arial" w:eastAsia="Arial" w:hAnsi="Arial"/>
                <w:sz w:val="18"/>
                <w:szCs w:val="18"/>
                <w:color w:val="auto"/>
              </w:rPr>
              <w:t>Payment of Principal and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4.2</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 Reports.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4.3</w:t>
            </w:r>
          </w:p>
        </w:tc>
        <w:tc>
          <w:tcPr>
            <w:tcW w:w="888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4.4</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Stay, Extension and Usury Laws.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4.5</w:t>
            </w:r>
          </w:p>
        </w:tc>
        <w:tc>
          <w:tcPr>
            <w:tcW w:w="8880" w:type="dxa"/>
            <w:vAlign w:val="bottom"/>
          </w:tcPr>
          <w:p>
            <w:pPr>
              <w:ind w:left="120"/>
              <w:spacing w:after="0"/>
              <w:rPr>
                <w:sz w:val="20"/>
                <w:szCs w:val="20"/>
                <w:color w:val="auto"/>
              </w:rPr>
            </w:pPr>
            <w:r>
              <w:rPr>
                <w:rFonts w:ascii="Arial" w:cs="Arial" w:eastAsia="Arial" w:hAnsi="Arial"/>
                <w:sz w:val="18"/>
                <w:szCs w:val="18"/>
                <w:color w:val="auto"/>
              </w:rPr>
              <w:t>Corporate Existence.</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SUCCESSORS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5.1</w:t>
            </w:r>
          </w:p>
        </w:tc>
        <w:tc>
          <w:tcPr>
            <w:tcW w:w="8880" w:type="dxa"/>
            <w:vAlign w:val="bottom"/>
          </w:tcPr>
          <w:p>
            <w:pPr>
              <w:ind w:left="120"/>
              <w:spacing w:after="0"/>
              <w:rPr>
                <w:sz w:val="20"/>
                <w:szCs w:val="20"/>
                <w:color w:val="auto"/>
              </w:rPr>
            </w:pPr>
            <w:r>
              <w:rPr>
                <w:rFonts w:ascii="Arial" w:cs="Arial" w:eastAsia="Arial" w:hAnsi="Arial"/>
                <w:sz w:val="18"/>
                <w:szCs w:val="18"/>
                <w:color w:val="auto"/>
              </w:rPr>
              <w:t>When Company May Merge, Etc.</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5.2</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 Corporation Substituted.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gridSpan w:val="2"/>
          </w:tcPr>
          <w:p>
            <w:pPr>
              <w:spacing w:after="0"/>
              <w:rPr>
                <w:sz w:val="20"/>
                <w:szCs w:val="20"/>
                <w:color w:val="auto"/>
              </w:rPr>
            </w:pPr>
            <w:r>
              <w:rPr>
                <w:rFonts w:ascii="Arial" w:cs="Arial" w:eastAsia="Arial" w:hAnsi="Arial"/>
                <w:sz w:val="18"/>
                <w:szCs w:val="18"/>
                <w:b w:val="1"/>
                <w:bCs w:val="1"/>
                <w:color w:val="auto"/>
              </w:rPr>
              <w:t>ARTICLE VI DEFAULTS AND REMEDIES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6.1</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Events of Default.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6.2</w:t>
            </w:r>
          </w:p>
        </w:tc>
        <w:tc>
          <w:tcPr>
            <w:tcW w:w="8880" w:type="dxa"/>
            <w:vAlign w:val="bottom"/>
          </w:tcPr>
          <w:p>
            <w:pPr>
              <w:ind w:left="120"/>
              <w:spacing w:after="0"/>
              <w:rPr>
                <w:sz w:val="20"/>
                <w:szCs w:val="20"/>
                <w:color w:val="auto"/>
              </w:rPr>
            </w:pPr>
            <w:r>
              <w:rPr>
                <w:rFonts w:ascii="Arial" w:cs="Arial" w:eastAsia="Arial" w:hAnsi="Arial"/>
                <w:sz w:val="18"/>
                <w:szCs w:val="18"/>
                <w:color w:val="auto"/>
              </w:rPr>
              <w:t>Acceleration of Maturity; Rescission and Annulment.</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6.3</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Collection of Indebtedness and Suits for Enforcement by Trustee.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6.4</w:t>
            </w:r>
          </w:p>
        </w:tc>
        <w:tc>
          <w:tcPr>
            <w:tcW w:w="888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6.5</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Trustee May Enforce Claims Without Possession of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6.6</w:t>
            </w:r>
          </w:p>
        </w:tc>
        <w:tc>
          <w:tcPr>
            <w:tcW w:w="8880" w:type="dxa"/>
            <w:vAlign w:val="bottom"/>
          </w:tcPr>
          <w:p>
            <w:pPr>
              <w:ind w:left="120"/>
              <w:spacing w:after="0"/>
              <w:rPr>
                <w:sz w:val="20"/>
                <w:szCs w:val="20"/>
                <w:color w:val="auto"/>
              </w:rPr>
            </w:pPr>
            <w:r>
              <w:rPr>
                <w:rFonts w:ascii="Arial" w:cs="Arial" w:eastAsia="Arial" w:hAnsi="Arial"/>
                <w:sz w:val="18"/>
                <w:szCs w:val="18"/>
                <w:color w:val="auto"/>
              </w:rPr>
              <w:t>Application of Money Collected.</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6.7</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Limitation on Suits.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rPr>
              <w:t>Section 6.8</w:t>
            </w:r>
          </w:p>
        </w:tc>
        <w:tc>
          <w:tcPr>
            <w:tcW w:w="8880" w:type="dxa"/>
            <w:vAlign w:val="bottom"/>
          </w:tcPr>
          <w:p>
            <w:pPr>
              <w:ind w:left="120"/>
              <w:spacing w:after="0"/>
              <w:rPr>
                <w:sz w:val="20"/>
                <w:szCs w:val="20"/>
                <w:color w:val="auto"/>
              </w:rPr>
            </w:pPr>
            <w:r>
              <w:rPr>
                <w:rFonts w:ascii="Arial" w:cs="Arial" w:eastAsia="Arial" w:hAnsi="Arial"/>
                <w:sz w:val="18"/>
                <w:szCs w:val="18"/>
                <w:color w:val="auto"/>
              </w:rPr>
              <w:t>Unconditional Right of Holders to Receive Principal and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6.9</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Restoration of Rights and Remedies.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9"/>
              </w:rPr>
              <w:t>Section 6.10</w:t>
            </w:r>
          </w:p>
        </w:tc>
        <w:tc>
          <w:tcPr>
            <w:tcW w:w="8880" w:type="dxa"/>
            <w:vAlign w:val="bottom"/>
          </w:tcPr>
          <w:p>
            <w:pPr>
              <w:ind w:left="120"/>
              <w:spacing w:after="0"/>
              <w:rPr>
                <w:sz w:val="20"/>
                <w:szCs w:val="20"/>
                <w:color w:val="auto"/>
              </w:rPr>
            </w:pPr>
            <w:r>
              <w:rPr>
                <w:rFonts w:ascii="Arial" w:cs="Arial" w:eastAsia="Arial" w:hAnsi="Arial"/>
                <w:sz w:val="18"/>
                <w:szCs w:val="18"/>
                <w:color w:val="auto"/>
              </w:rPr>
              <w:t>Rights and Remedies Cumulative.</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Section 6.11</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Delay or Omission Not Waiver.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9"/>
              </w:rPr>
              <w:t>Section 6.12</w:t>
            </w:r>
          </w:p>
        </w:tc>
        <w:tc>
          <w:tcPr>
            <w:tcW w:w="8880" w:type="dxa"/>
            <w:vAlign w:val="bottom"/>
          </w:tcPr>
          <w:p>
            <w:pPr>
              <w:ind w:left="120"/>
              <w:spacing w:after="0"/>
              <w:rPr>
                <w:sz w:val="20"/>
                <w:szCs w:val="20"/>
                <w:color w:val="auto"/>
              </w:rPr>
            </w:pPr>
            <w:r>
              <w:rPr>
                <w:rFonts w:ascii="Arial" w:cs="Arial" w:eastAsia="Arial" w:hAnsi="Arial"/>
                <w:sz w:val="18"/>
                <w:szCs w:val="18"/>
                <w:color w:val="auto"/>
              </w:rPr>
              <w:t>Control by Holders.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Section 6.13</w:t>
            </w:r>
          </w:p>
        </w:tc>
        <w:tc>
          <w:tcPr>
            <w:tcW w:w="8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Waiver of Past Defaults.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580" w:type="dxa"/>
            <w:vAlign w:val="bottom"/>
          </w:tcPr>
          <w:p>
            <w:pPr>
              <w:ind w:left="560"/>
              <w:spacing w:after="0"/>
              <w:rPr>
                <w:sz w:val="20"/>
                <w:szCs w:val="20"/>
                <w:color w:val="auto"/>
              </w:rPr>
            </w:pPr>
            <w:r>
              <w:rPr>
                <w:rFonts w:ascii="Arial" w:cs="Arial" w:eastAsia="Arial" w:hAnsi="Arial"/>
                <w:sz w:val="18"/>
                <w:szCs w:val="18"/>
                <w:color w:val="auto"/>
                <w:w w:val="99"/>
              </w:rPr>
              <w:t>Section 6.14</w:t>
            </w:r>
          </w:p>
        </w:tc>
        <w:tc>
          <w:tcPr>
            <w:tcW w:w="888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 TRUSTEE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7.1</w:t>
            </w:r>
          </w:p>
        </w:tc>
        <w:tc>
          <w:tcPr>
            <w:tcW w:w="7160" w:type="dxa"/>
            <w:vAlign w:val="bottom"/>
          </w:tcPr>
          <w:p>
            <w:pPr>
              <w:ind w:left="80"/>
              <w:spacing w:after="0"/>
              <w:rPr>
                <w:sz w:val="20"/>
                <w:szCs w:val="20"/>
                <w:color w:val="auto"/>
              </w:rPr>
            </w:pPr>
            <w:r>
              <w:rPr>
                <w:rFonts w:ascii="Arial" w:cs="Arial" w:eastAsia="Arial" w:hAnsi="Arial"/>
                <w:sz w:val="18"/>
                <w:szCs w:val="18"/>
                <w:color w:val="auto"/>
              </w:rPr>
              <w:t>Duties of Trustee.</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7.2</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Rights of Trustee.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7.3</w:t>
            </w:r>
          </w:p>
        </w:tc>
        <w:tc>
          <w:tcPr>
            <w:tcW w:w="716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7.4</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Individual Rights of Trustee.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7.5</w:t>
            </w:r>
          </w:p>
        </w:tc>
        <w:tc>
          <w:tcPr>
            <w:tcW w:w="7160" w:type="dxa"/>
            <w:vAlign w:val="bottom"/>
          </w:tcPr>
          <w:p>
            <w:pPr>
              <w:ind w:left="80"/>
              <w:spacing w:after="0"/>
              <w:rPr>
                <w:sz w:val="20"/>
                <w:szCs w:val="20"/>
                <w:color w:val="auto"/>
              </w:rPr>
            </w:pPr>
            <w:r>
              <w:rPr>
                <w:rFonts w:ascii="Arial" w:cs="Arial" w:eastAsia="Arial" w:hAnsi="Arial"/>
                <w:sz w:val="18"/>
                <w:szCs w:val="18"/>
                <w:color w:val="auto"/>
              </w:rPr>
              <w:t>Trustee’s Disclaimer.</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7.6</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 of Defaults.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7.7</w:t>
            </w:r>
          </w:p>
        </w:tc>
        <w:tc>
          <w:tcPr>
            <w:tcW w:w="7160" w:type="dxa"/>
            <w:vAlign w:val="bottom"/>
          </w:tcPr>
          <w:p>
            <w:pPr>
              <w:ind w:left="80"/>
              <w:spacing w:after="0"/>
              <w:rPr>
                <w:sz w:val="20"/>
                <w:szCs w:val="20"/>
                <w:color w:val="auto"/>
              </w:rPr>
            </w:pPr>
            <w:r>
              <w:rPr>
                <w:rFonts w:ascii="Arial" w:cs="Arial" w:eastAsia="Arial" w:hAnsi="Arial"/>
                <w:sz w:val="18"/>
                <w:szCs w:val="18"/>
                <w:color w:val="auto"/>
              </w:rPr>
              <w:t>Reports by Trustee to 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7.8</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and Indemnity.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7.9</w:t>
            </w:r>
          </w:p>
        </w:tc>
        <w:tc>
          <w:tcPr>
            <w:tcW w:w="7160" w:type="dxa"/>
            <w:vAlign w:val="bottom"/>
          </w:tcPr>
          <w:p>
            <w:pPr>
              <w:ind w:left="80"/>
              <w:spacing w:after="0"/>
              <w:rPr>
                <w:sz w:val="20"/>
                <w:szCs w:val="20"/>
                <w:color w:val="auto"/>
              </w:rPr>
            </w:pPr>
            <w:r>
              <w:rPr>
                <w:rFonts w:ascii="Arial" w:cs="Arial" w:eastAsia="Arial" w:hAnsi="Arial"/>
                <w:sz w:val="18"/>
                <w:szCs w:val="18"/>
                <w:color w:val="auto"/>
              </w:rPr>
              <w:t>Replacement of Trustee.</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7.10</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Successor Trustee by Merger, etc.</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7.11</w:t>
            </w:r>
          </w:p>
        </w:tc>
        <w:tc>
          <w:tcPr>
            <w:tcW w:w="7160" w:type="dxa"/>
            <w:vAlign w:val="bottom"/>
          </w:tcPr>
          <w:p>
            <w:pPr>
              <w:ind w:left="80"/>
              <w:spacing w:after="0"/>
              <w:rPr>
                <w:sz w:val="20"/>
                <w:szCs w:val="20"/>
                <w:color w:val="auto"/>
              </w:rPr>
            </w:pPr>
            <w:r>
              <w:rPr>
                <w:rFonts w:ascii="Arial" w:cs="Arial" w:eastAsia="Arial" w:hAnsi="Arial"/>
                <w:sz w:val="18"/>
                <w:szCs w:val="18"/>
                <w:color w:val="auto"/>
              </w:rPr>
              <w:t>Eligibility; Disqualification.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7.12</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Preferential Collection of Claims Against Company.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VIII SATISFACTION AND DISCHARGE; DEFEASANCE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8.1</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8.2</w:t>
            </w:r>
          </w:p>
        </w:tc>
        <w:tc>
          <w:tcPr>
            <w:tcW w:w="7160" w:type="dxa"/>
            <w:vAlign w:val="bottom"/>
          </w:tcPr>
          <w:p>
            <w:pPr>
              <w:ind w:left="80"/>
              <w:spacing w:after="0"/>
              <w:rPr>
                <w:sz w:val="20"/>
                <w:szCs w:val="20"/>
                <w:color w:val="auto"/>
              </w:rPr>
            </w:pPr>
            <w:r>
              <w:rPr>
                <w:rFonts w:ascii="Arial" w:cs="Arial" w:eastAsia="Arial" w:hAnsi="Arial"/>
                <w:sz w:val="18"/>
                <w:szCs w:val="18"/>
                <w:color w:val="auto"/>
              </w:rPr>
              <w:t>Application of Trust Funds; Indemnification.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8.3</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Defeasance of Securities of any Series.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8.4</w:t>
            </w:r>
          </w:p>
        </w:tc>
        <w:tc>
          <w:tcPr>
            <w:tcW w:w="7160" w:type="dxa"/>
            <w:vAlign w:val="bottom"/>
          </w:tcPr>
          <w:p>
            <w:pPr>
              <w:ind w:left="80"/>
              <w:spacing w:after="0"/>
              <w:rPr>
                <w:sz w:val="20"/>
                <w:szCs w:val="20"/>
                <w:color w:val="auto"/>
              </w:rPr>
            </w:pPr>
            <w:r>
              <w:rPr>
                <w:rFonts w:ascii="Arial" w:cs="Arial" w:eastAsia="Arial" w:hAnsi="Arial"/>
                <w:sz w:val="18"/>
                <w:szCs w:val="18"/>
                <w:color w:val="auto"/>
              </w:rPr>
              <w:t>Covenant Defeasance.</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8.5</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to Company.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IX SUPPLEMENTAL INDENTURES, AMENDMENTS AND WAIVERS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9.1</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Without Consent of Holders.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9.2</w:t>
            </w:r>
          </w:p>
        </w:tc>
        <w:tc>
          <w:tcPr>
            <w:tcW w:w="7160" w:type="dxa"/>
            <w:vAlign w:val="bottom"/>
          </w:tcPr>
          <w:p>
            <w:pPr>
              <w:ind w:left="80"/>
              <w:spacing w:after="0"/>
              <w:rPr>
                <w:sz w:val="20"/>
                <w:szCs w:val="20"/>
                <w:color w:val="auto"/>
              </w:rPr>
            </w:pPr>
            <w:r>
              <w:rPr>
                <w:rFonts w:ascii="Arial" w:cs="Arial" w:eastAsia="Arial" w:hAnsi="Arial"/>
                <w:sz w:val="18"/>
                <w:szCs w:val="18"/>
                <w:color w:val="auto"/>
              </w:rPr>
              <w:t>With Consent of 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9.3</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Limitations.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9.4</w:t>
            </w:r>
          </w:p>
        </w:tc>
        <w:tc>
          <w:tcPr>
            <w:tcW w:w="7160" w:type="dxa"/>
            <w:vAlign w:val="bottom"/>
          </w:tcPr>
          <w:p>
            <w:pPr>
              <w:ind w:left="80"/>
              <w:spacing w:after="0"/>
              <w:rPr>
                <w:sz w:val="20"/>
                <w:szCs w:val="20"/>
                <w:color w:val="auto"/>
              </w:rPr>
            </w:pPr>
            <w:r>
              <w:rPr>
                <w:rFonts w:ascii="Arial" w:cs="Arial" w:eastAsia="Arial" w:hAnsi="Arial"/>
                <w:sz w:val="18"/>
                <w:szCs w:val="18"/>
                <w:color w:val="auto"/>
              </w:rPr>
              <w:t>Compliance with Trust Indenture Act.</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9.5</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Revocation and Effect of Consents.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9.6</w:t>
            </w:r>
          </w:p>
        </w:tc>
        <w:tc>
          <w:tcPr>
            <w:tcW w:w="7160" w:type="dxa"/>
            <w:vAlign w:val="bottom"/>
          </w:tcPr>
          <w:p>
            <w:pPr>
              <w:ind w:left="80"/>
              <w:spacing w:after="0"/>
              <w:rPr>
                <w:sz w:val="20"/>
                <w:szCs w:val="20"/>
                <w:color w:val="auto"/>
              </w:rPr>
            </w:pPr>
            <w:r>
              <w:rPr>
                <w:rFonts w:ascii="Arial" w:cs="Arial" w:eastAsia="Arial" w:hAnsi="Arial"/>
                <w:sz w:val="18"/>
                <w:szCs w:val="18"/>
                <w:color w:val="auto"/>
              </w:rPr>
              <w:t>Notation on or Exchange of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9.7</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Trustee Protected.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X MISCELLANEOUS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10.1</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Trust Indenture Act Controls.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10.2</w:t>
            </w:r>
          </w:p>
        </w:tc>
        <w:tc>
          <w:tcPr>
            <w:tcW w:w="7160" w:type="dxa"/>
            <w:vAlign w:val="bottom"/>
          </w:tcPr>
          <w:p>
            <w:pPr>
              <w:ind w:left="8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10.3</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Communication by Holders with Other Holders.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10.4</w:t>
            </w:r>
          </w:p>
        </w:tc>
        <w:tc>
          <w:tcPr>
            <w:tcW w:w="7160" w:type="dxa"/>
            <w:vAlign w:val="bottom"/>
          </w:tcPr>
          <w:p>
            <w:pPr>
              <w:ind w:left="80"/>
              <w:spacing w:after="0"/>
              <w:rPr>
                <w:sz w:val="20"/>
                <w:szCs w:val="20"/>
                <w:color w:val="auto"/>
              </w:rPr>
            </w:pPr>
            <w:r>
              <w:rPr>
                <w:rFonts w:ascii="Arial" w:cs="Arial" w:eastAsia="Arial" w:hAnsi="Arial"/>
                <w:sz w:val="18"/>
                <w:szCs w:val="18"/>
                <w:color w:val="auto"/>
              </w:rPr>
              <w:t>Certificate and Opinion as to Conditions Precedent.</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10.5</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Statements Required in Certificate or Opinion.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10.6</w:t>
            </w:r>
          </w:p>
        </w:tc>
        <w:tc>
          <w:tcPr>
            <w:tcW w:w="7160" w:type="dxa"/>
            <w:vAlign w:val="bottom"/>
          </w:tcPr>
          <w:p>
            <w:pPr>
              <w:ind w:left="80"/>
              <w:spacing w:after="0"/>
              <w:rPr>
                <w:sz w:val="20"/>
                <w:szCs w:val="20"/>
                <w:color w:val="auto"/>
              </w:rPr>
            </w:pPr>
            <w:r>
              <w:rPr>
                <w:rFonts w:ascii="Arial" w:cs="Arial" w:eastAsia="Arial" w:hAnsi="Arial"/>
                <w:sz w:val="18"/>
                <w:szCs w:val="18"/>
                <w:color w:val="auto"/>
              </w:rPr>
              <w:t>Rules by Trustee and Agents.</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10.7</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Holidays.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10.8</w:t>
            </w:r>
          </w:p>
        </w:tc>
        <w:tc>
          <w:tcPr>
            <w:tcW w:w="7160" w:type="dxa"/>
            <w:vAlign w:val="bottom"/>
          </w:tcPr>
          <w:p>
            <w:pPr>
              <w:ind w:left="80"/>
              <w:spacing w:after="0"/>
              <w:rPr>
                <w:sz w:val="20"/>
                <w:szCs w:val="20"/>
                <w:color w:val="auto"/>
              </w:rPr>
            </w:pPr>
            <w:r>
              <w:rPr>
                <w:rFonts w:ascii="Arial" w:cs="Arial" w:eastAsia="Arial" w:hAnsi="Arial"/>
                <w:sz w:val="18"/>
                <w:szCs w:val="18"/>
                <w:color w:val="auto"/>
              </w:rPr>
              <w:t>No Recourse Against Others.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10.9</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Counterparts.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w w:val="94"/>
              </w:rPr>
              <w:t>Section 10.10</w:t>
            </w:r>
          </w:p>
        </w:tc>
        <w:tc>
          <w:tcPr>
            <w:tcW w:w="7160" w:type="dxa"/>
            <w:vAlign w:val="bottom"/>
          </w:tcPr>
          <w:p>
            <w:pPr>
              <w:ind w:left="80"/>
              <w:spacing w:after="0"/>
              <w:rPr>
                <w:sz w:val="20"/>
                <w:szCs w:val="20"/>
                <w:color w:val="auto"/>
              </w:rPr>
            </w:pPr>
            <w:r>
              <w:rPr>
                <w:rFonts w:ascii="Arial" w:cs="Arial" w:eastAsia="Arial" w:hAnsi="Arial"/>
                <w:sz w:val="18"/>
                <w:szCs w:val="18"/>
                <w:color w:val="auto"/>
              </w:rPr>
              <w:t>Governing Laws.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Section 10.11</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w w:val="94"/>
              </w:rPr>
              <w:t>Section 10.12</w:t>
            </w:r>
          </w:p>
        </w:tc>
        <w:tc>
          <w:tcPr>
            <w:tcW w:w="716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Section 10.13</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w w:val="94"/>
              </w:rPr>
              <w:t>Section 10.14</w:t>
            </w:r>
          </w:p>
        </w:tc>
        <w:tc>
          <w:tcPr>
            <w:tcW w:w="7160" w:type="dxa"/>
            <w:vAlign w:val="bottom"/>
          </w:tcPr>
          <w:p>
            <w:pPr>
              <w:ind w:left="80"/>
              <w:spacing w:after="0"/>
              <w:rPr>
                <w:sz w:val="20"/>
                <w:szCs w:val="20"/>
                <w:color w:val="auto"/>
              </w:rPr>
            </w:pPr>
            <w:r>
              <w:rPr>
                <w:rFonts w:ascii="Arial" w:cs="Arial" w:eastAsia="Arial" w:hAnsi="Arial"/>
                <w:sz w:val="18"/>
                <w:szCs w:val="18"/>
                <w:color w:val="auto"/>
              </w:rPr>
              <w:t>Table of Contents, Headings, Etc.</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Section 10.15</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 in a Foreign Currency or in ECU.</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w w:val="94"/>
              </w:rPr>
              <w:t>Section 10.16</w:t>
            </w:r>
          </w:p>
        </w:tc>
        <w:tc>
          <w:tcPr>
            <w:tcW w:w="716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XI SINKING FUNDS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1620" w:type="dxa"/>
            <w:vAlign w:val="bottom"/>
          </w:tcPr>
          <w:p>
            <w:pPr>
              <w:ind w:left="560"/>
              <w:spacing w:after="0"/>
              <w:rPr>
                <w:sz w:val="20"/>
                <w:szCs w:val="20"/>
                <w:color w:val="auto"/>
              </w:rPr>
            </w:pPr>
            <w:r>
              <w:rPr>
                <w:rFonts w:ascii="Arial" w:cs="Arial" w:eastAsia="Arial" w:hAnsi="Arial"/>
                <w:sz w:val="18"/>
                <w:szCs w:val="18"/>
                <w:color w:val="auto"/>
              </w:rPr>
              <w:t>Section 11.1</w:t>
            </w:r>
          </w:p>
        </w:tc>
        <w:tc>
          <w:tcPr>
            <w:tcW w:w="7160" w:type="dxa"/>
            <w:vAlign w:val="bottom"/>
          </w:tcPr>
          <w:p>
            <w:pPr>
              <w:ind w:left="80"/>
              <w:spacing w:after="0"/>
              <w:rPr>
                <w:sz w:val="20"/>
                <w:szCs w:val="20"/>
                <w:color w:val="auto"/>
              </w:rPr>
            </w:pPr>
            <w:r>
              <w:rPr>
                <w:rFonts w:ascii="Arial" w:cs="Arial" w:eastAsia="Arial" w:hAnsi="Arial"/>
                <w:sz w:val="18"/>
                <w:szCs w:val="18"/>
                <w:color w:val="auto"/>
              </w:rPr>
              <w:t>Applicability of Article.</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11.2</w:t>
            </w:r>
          </w:p>
        </w:tc>
        <w:tc>
          <w:tcPr>
            <w:tcW w:w="7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Satisfaction of Sinking Fund Payments with Securities.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620" w:type="dxa"/>
            <w:vAlign w:val="bottom"/>
          </w:tcPr>
          <w:p>
            <w:pPr>
              <w:ind w:left="560"/>
              <w:spacing w:after="0"/>
              <w:rPr>
                <w:sz w:val="20"/>
                <w:szCs w:val="20"/>
                <w:color w:val="auto"/>
              </w:rPr>
            </w:pPr>
            <w:r>
              <w:rPr>
                <w:rFonts w:ascii="Arial" w:cs="Arial" w:eastAsia="Arial" w:hAnsi="Arial"/>
                <w:sz w:val="18"/>
                <w:szCs w:val="18"/>
                <w:color w:val="auto"/>
              </w:rPr>
              <w:t>Section 11.3</w:t>
            </w:r>
          </w:p>
        </w:tc>
        <w:tc>
          <w:tcPr>
            <w:tcW w:w="7160" w:type="dxa"/>
            <w:vAlign w:val="bottom"/>
          </w:tcPr>
          <w:p>
            <w:pPr>
              <w:ind w:left="80"/>
              <w:spacing w:after="0"/>
              <w:rPr>
                <w:sz w:val="20"/>
                <w:szCs w:val="20"/>
                <w:color w:val="auto"/>
              </w:rPr>
            </w:pPr>
            <w:r>
              <w:rPr>
                <w:rFonts w:ascii="Arial" w:cs="Arial" w:eastAsia="Arial" w:hAnsi="Arial"/>
                <w:sz w:val="18"/>
                <w:szCs w:val="18"/>
                <w:color w:val="auto"/>
              </w:rPr>
              <w:t>Redemption of Securities for Sinking Fund.</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Opera Limtied</w:t>
            </w:r>
          </w:p>
        </w:tc>
        <w:tc>
          <w:tcPr>
            <w:tcW w:w="4720" w:type="dxa"/>
            <w:vAlign w:val="bottom"/>
          </w:tcPr>
          <w:p>
            <w:pPr>
              <w:spacing w:after="0"/>
              <w:rPr>
                <w:sz w:val="20"/>
                <w:szCs w:val="20"/>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color w:val="auto"/>
                <w:w w:val="93"/>
              </w:rPr>
              <w:t>Reconciliation and tie between Trust Indenture Act of 1939 and Indenture, dated as of [</w:t>
            </w:r>
          </w:p>
        </w:tc>
        <w:tc>
          <w:tcPr>
            <w:tcW w:w="4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432"/>
        </w:trPr>
        <w:tc>
          <w:tcPr>
            <w:tcW w:w="11240" w:type="dxa"/>
            <w:vAlign w:val="bottom"/>
            <w:gridSpan w:val="2"/>
          </w:tcPr>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tc>
      </w:tr>
      <w:tr>
        <w:trPr>
          <w:trHeight w:val="216"/>
        </w:trPr>
        <w:tc>
          <w:tcPr>
            <w:tcW w:w="65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7.11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(a)(2)</w:t>
            </w:r>
          </w:p>
        </w:tc>
        <w:tc>
          <w:tcPr>
            <w:tcW w:w="4720" w:type="dxa"/>
            <w:vAlign w:val="bottom"/>
          </w:tcPr>
          <w:p>
            <w:pPr>
              <w:ind w:left="2300"/>
              <w:spacing w:after="0"/>
              <w:rPr>
                <w:sz w:val="20"/>
                <w:szCs w:val="20"/>
                <w:color w:val="auto"/>
              </w:rPr>
            </w:pPr>
            <w:r>
              <w:rPr>
                <w:rFonts w:ascii="Arial" w:cs="Arial" w:eastAsia="Arial" w:hAnsi="Arial"/>
                <w:sz w:val="18"/>
                <w:szCs w:val="18"/>
                <w:color w:val="auto"/>
              </w:rPr>
              <w:t>7.11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Not Applicable</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(a)(4)</w:t>
            </w:r>
          </w:p>
        </w:tc>
        <w:tc>
          <w:tcPr>
            <w:tcW w:w="4720" w:type="dxa"/>
            <w:vAlign w:val="bottom"/>
          </w:tcPr>
          <w:p>
            <w:pPr>
              <w:ind w:left="2300"/>
              <w:spacing w:after="0"/>
              <w:rPr>
                <w:sz w:val="20"/>
                <w:szCs w:val="20"/>
                <w:color w:val="auto"/>
              </w:rPr>
            </w:pPr>
            <w:r>
              <w:rPr>
                <w:rFonts w:ascii="Arial" w:cs="Arial" w:eastAsia="Arial" w:hAnsi="Arial"/>
                <w:sz w:val="18"/>
                <w:szCs w:val="18"/>
                <w:color w:val="auto"/>
              </w:rPr>
              <w:t>Not Applicable</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7.11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w:t>
            </w:r>
          </w:p>
        </w:tc>
        <w:tc>
          <w:tcPr>
            <w:tcW w:w="4720" w:type="dxa"/>
            <w:vAlign w:val="bottom"/>
          </w:tcPr>
          <w:p>
            <w:pPr>
              <w:ind w:left="2300"/>
              <w:spacing w:after="0"/>
              <w:rPr>
                <w:sz w:val="20"/>
                <w:szCs w:val="20"/>
                <w:color w:val="auto"/>
              </w:rPr>
            </w:pPr>
            <w:r>
              <w:rPr>
                <w:rFonts w:ascii="Arial" w:cs="Arial" w:eastAsia="Arial" w:hAnsi="Arial"/>
                <w:sz w:val="18"/>
                <w:szCs w:val="18"/>
                <w:color w:val="auto"/>
              </w:rPr>
              <w:t>7.11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311(a)</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7.12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w:t>
            </w:r>
          </w:p>
        </w:tc>
        <w:tc>
          <w:tcPr>
            <w:tcW w:w="4720" w:type="dxa"/>
            <w:vAlign w:val="bottom"/>
          </w:tcPr>
          <w:p>
            <w:pPr>
              <w:ind w:left="2300"/>
              <w:spacing w:after="0"/>
              <w:rPr>
                <w:sz w:val="20"/>
                <w:szCs w:val="20"/>
                <w:color w:val="auto"/>
              </w:rPr>
            </w:pPr>
            <w:r>
              <w:rPr>
                <w:rFonts w:ascii="Arial" w:cs="Arial" w:eastAsia="Arial" w:hAnsi="Arial"/>
                <w:sz w:val="18"/>
                <w:szCs w:val="18"/>
                <w:color w:val="auto"/>
              </w:rPr>
              <w:t>7.12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312(a)</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w:t>
            </w:r>
          </w:p>
        </w:tc>
        <w:tc>
          <w:tcPr>
            <w:tcW w:w="4720" w:type="dxa"/>
            <w:vAlign w:val="bottom"/>
          </w:tcPr>
          <w:p>
            <w:pPr>
              <w:ind w:left="2300"/>
              <w:spacing w:after="0"/>
              <w:rPr>
                <w:sz w:val="20"/>
                <w:szCs w:val="20"/>
                <w:color w:val="auto"/>
              </w:rPr>
            </w:pPr>
            <w:r>
              <w:rPr>
                <w:rFonts w:ascii="Arial" w:cs="Arial" w:eastAsia="Arial" w:hAnsi="Arial"/>
                <w:sz w:val="18"/>
                <w:szCs w:val="18"/>
                <w:color w:val="auto"/>
              </w:rPr>
              <w:t>10.3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10.3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 313(a)</w:t>
            </w:r>
          </w:p>
        </w:tc>
        <w:tc>
          <w:tcPr>
            <w:tcW w:w="4720" w:type="dxa"/>
            <w:vAlign w:val="bottom"/>
          </w:tcPr>
          <w:p>
            <w:pPr>
              <w:ind w:left="2300"/>
              <w:spacing w:after="0"/>
              <w:rPr>
                <w:sz w:val="20"/>
                <w:szCs w:val="20"/>
                <w:color w:val="auto"/>
              </w:rPr>
            </w:pPr>
            <w:r>
              <w:rPr>
                <w:rFonts w:ascii="Arial" w:cs="Arial" w:eastAsia="Arial" w:hAnsi="Arial"/>
                <w:sz w:val="18"/>
                <w:szCs w:val="18"/>
                <w:color w:val="auto"/>
              </w:rPr>
              <w:t>7.7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(b)(1)</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7.7</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(b)(2)</w:t>
            </w:r>
          </w:p>
        </w:tc>
        <w:tc>
          <w:tcPr>
            <w:tcW w:w="4720" w:type="dxa"/>
            <w:vAlign w:val="bottom"/>
          </w:tcPr>
          <w:p>
            <w:pPr>
              <w:ind w:left="2300"/>
              <w:spacing w:after="0"/>
              <w:rPr>
                <w:sz w:val="20"/>
                <w:szCs w:val="20"/>
                <w:color w:val="auto"/>
              </w:rPr>
            </w:pPr>
            <w:r>
              <w:rPr>
                <w:rFonts w:ascii="Arial" w:cs="Arial" w:eastAsia="Arial" w:hAnsi="Arial"/>
                <w:sz w:val="18"/>
                <w:szCs w:val="18"/>
                <w:color w:val="auto"/>
              </w:rPr>
              <w:t>7.7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7.7</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w:t>
            </w:r>
          </w:p>
        </w:tc>
        <w:tc>
          <w:tcPr>
            <w:tcW w:w="4720" w:type="dxa"/>
            <w:vAlign w:val="bottom"/>
          </w:tcPr>
          <w:p>
            <w:pPr>
              <w:ind w:left="2300"/>
              <w:spacing w:after="0"/>
              <w:rPr>
                <w:sz w:val="20"/>
                <w:szCs w:val="20"/>
                <w:color w:val="auto"/>
              </w:rPr>
            </w:pPr>
            <w:r>
              <w:rPr>
                <w:rFonts w:ascii="Arial" w:cs="Arial" w:eastAsia="Arial" w:hAnsi="Arial"/>
                <w:sz w:val="18"/>
                <w:szCs w:val="18"/>
                <w:color w:val="auto"/>
              </w:rPr>
              <w:t>7.7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314(a)</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4.2, 10.5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w:t>
            </w:r>
          </w:p>
        </w:tc>
        <w:tc>
          <w:tcPr>
            <w:tcW w:w="4720" w:type="dxa"/>
            <w:vAlign w:val="bottom"/>
          </w:tcPr>
          <w:p>
            <w:pPr>
              <w:ind w:left="2300"/>
              <w:spacing w:after="0"/>
              <w:rPr>
                <w:sz w:val="20"/>
                <w:szCs w:val="20"/>
                <w:color w:val="auto"/>
              </w:rPr>
            </w:pPr>
            <w:r>
              <w:rPr>
                <w:rFonts w:ascii="Arial" w:cs="Arial" w:eastAsia="Arial" w:hAnsi="Arial"/>
                <w:sz w:val="18"/>
                <w:szCs w:val="18"/>
                <w:color w:val="auto"/>
              </w:rPr>
              <w:t>Not Applicable</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(c)(1)</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10.4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(c)(2)</w:t>
            </w:r>
          </w:p>
        </w:tc>
        <w:tc>
          <w:tcPr>
            <w:tcW w:w="4720" w:type="dxa"/>
            <w:vAlign w:val="bottom"/>
          </w:tcPr>
          <w:p>
            <w:pPr>
              <w:ind w:left="2300"/>
              <w:spacing w:after="0"/>
              <w:rPr>
                <w:sz w:val="20"/>
                <w:szCs w:val="20"/>
                <w:color w:val="auto"/>
              </w:rPr>
            </w:pPr>
            <w:r>
              <w:rPr>
                <w:rFonts w:ascii="Arial" w:cs="Arial" w:eastAsia="Arial" w:hAnsi="Arial"/>
                <w:sz w:val="18"/>
                <w:szCs w:val="18"/>
                <w:color w:val="auto"/>
              </w:rPr>
              <w:t>10.4</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(c)(3)</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Not Applicable</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w:t>
            </w:r>
          </w:p>
        </w:tc>
        <w:tc>
          <w:tcPr>
            <w:tcW w:w="4720" w:type="dxa"/>
            <w:vAlign w:val="bottom"/>
          </w:tcPr>
          <w:p>
            <w:pPr>
              <w:ind w:left="2300"/>
              <w:spacing w:after="0"/>
              <w:rPr>
                <w:sz w:val="20"/>
                <w:szCs w:val="20"/>
                <w:color w:val="auto"/>
              </w:rPr>
            </w:pPr>
            <w:r>
              <w:rPr>
                <w:rFonts w:ascii="Arial" w:cs="Arial" w:eastAsia="Arial" w:hAnsi="Arial"/>
                <w:sz w:val="18"/>
                <w:szCs w:val="18"/>
                <w:color w:val="auto"/>
              </w:rPr>
              <w:t>Not Applicable</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10.5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w:t>
            </w:r>
          </w:p>
        </w:tc>
        <w:tc>
          <w:tcPr>
            <w:tcW w:w="4720" w:type="dxa"/>
            <w:vAlign w:val="bottom"/>
          </w:tcPr>
          <w:p>
            <w:pPr>
              <w:ind w:left="2300"/>
              <w:spacing w:after="0"/>
              <w:rPr>
                <w:sz w:val="20"/>
                <w:szCs w:val="20"/>
                <w:color w:val="auto"/>
              </w:rPr>
            </w:pPr>
            <w:r>
              <w:rPr>
                <w:rFonts w:ascii="Arial" w:cs="Arial" w:eastAsia="Arial" w:hAnsi="Arial"/>
                <w:sz w:val="18"/>
                <w:szCs w:val="18"/>
                <w:color w:val="auto"/>
              </w:rPr>
              <w:t>Not Applicable</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315(a)</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7.1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w:t>
            </w:r>
          </w:p>
        </w:tc>
        <w:tc>
          <w:tcPr>
            <w:tcW w:w="4720" w:type="dxa"/>
            <w:vAlign w:val="bottom"/>
          </w:tcPr>
          <w:p>
            <w:pPr>
              <w:ind w:left="2300"/>
              <w:spacing w:after="0"/>
              <w:rPr>
                <w:sz w:val="20"/>
                <w:szCs w:val="20"/>
                <w:color w:val="auto"/>
              </w:rPr>
            </w:pPr>
            <w:r>
              <w:rPr>
                <w:rFonts w:ascii="Arial" w:cs="Arial" w:eastAsia="Arial" w:hAnsi="Arial"/>
                <w:sz w:val="18"/>
                <w:szCs w:val="18"/>
                <w:color w:val="auto"/>
              </w:rPr>
              <w:t>7.6</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7.1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w:t>
            </w:r>
          </w:p>
        </w:tc>
        <w:tc>
          <w:tcPr>
            <w:tcW w:w="4720" w:type="dxa"/>
            <w:vAlign w:val="bottom"/>
          </w:tcPr>
          <w:p>
            <w:pPr>
              <w:ind w:left="2300"/>
              <w:spacing w:after="0"/>
              <w:rPr>
                <w:sz w:val="20"/>
                <w:szCs w:val="20"/>
                <w:color w:val="auto"/>
              </w:rPr>
            </w:pPr>
            <w:r>
              <w:rPr>
                <w:rFonts w:ascii="Arial" w:cs="Arial" w:eastAsia="Arial" w:hAnsi="Arial"/>
                <w:sz w:val="18"/>
                <w:szCs w:val="18"/>
                <w:color w:val="auto"/>
              </w:rPr>
              <w:t>7.1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6.14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 316(a)</w:t>
            </w:r>
          </w:p>
        </w:tc>
        <w:tc>
          <w:tcPr>
            <w:tcW w:w="4720" w:type="dxa"/>
            <w:vAlign w:val="bottom"/>
          </w:tcPr>
          <w:p>
            <w:pPr>
              <w:ind w:left="2300"/>
              <w:spacing w:after="0"/>
              <w:rPr>
                <w:sz w:val="20"/>
                <w:szCs w:val="20"/>
                <w:color w:val="auto"/>
              </w:rPr>
            </w:pPr>
            <w:r>
              <w:rPr>
                <w:rFonts w:ascii="Arial" w:cs="Arial" w:eastAsia="Arial" w:hAnsi="Arial"/>
                <w:sz w:val="18"/>
                <w:szCs w:val="18"/>
                <w:color w:val="auto"/>
              </w:rPr>
              <w:t>2.10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6.12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(a)(1)(B)</w:t>
            </w:r>
          </w:p>
        </w:tc>
        <w:tc>
          <w:tcPr>
            <w:tcW w:w="4720" w:type="dxa"/>
            <w:vAlign w:val="bottom"/>
          </w:tcPr>
          <w:p>
            <w:pPr>
              <w:ind w:left="2300"/>
              <w:spacing w:after="0"/>
              <w:rPr>
                <w:sz w:val="20"/>
                <w:szCs w:val="20"/>
                <w:color w:val="auto"/>
              </w:rPr>
            </w:pPr>
            <w:r>
              <w:rPr>
                <w:rFonts w:ascii="Arial" w:cs="Arial" w:eastAsia="Arial" w:hAnsi="Arial"/>
                <w:sz w:val="18"/>
                <w:szCs w:val="18"/>
                <w:color w:val="auto"/>
              </w:rPr>
              <w:t>6.13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6.8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 317(a)(1)</w:t>
            </w:r>
          </w:p>
        </w:tc>
        <w:tc>
          <w:tcPr>
            <w:tcW w:w="4720" w:type="dxa"/>
            <w:vAlign w:val="bottom"/>
          </w:tcPr>
          <w:p>
            <w:pPr>
              <w:ind w:left="2300"/>
              <w:spacing w:after="0"/>
              <w:rPr>
                <w:sz w:val="20"/>
                <w:szCs w:val="20"/>
                <w:color w:val="auto"/>
              </w:rPr>
            </w:pPr>
            <w:r>
              <w:rPr>
                <w:rFonts w:ascii="Arial" w:cs="Arial" w:eastAsia="Arial" w:hAnsi="Arial"/>
                <w:sz w:val="18"/>
                <w:szCs w:val="18"/>
                <w:color w:val="auto"/>
              </w:rPr>
              <w:t>6.3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6.4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w:t>
            </w:r>
          </w:p>
        </w:tc>
        <w:tc>
          <w:tcPr>
            <w:tcW w:w="4720" w:type="dxa"/>
            <w:vAlign w:val="bottom"/>
          </w:tcPr>
          <w:p>
            <w:pPr>
              <w:ind w:left="2300"/>
              <w:spacing w:after="0"/>
              <w:rPr>
                <w:sz w:val="20"/>
                <w:szCs w:val="20"/>
                <w:color w:val="auto"/>
              </w:rPr>
            </w:pPr>
            <w:r>
              <w:rPr>
                <w:rFonts w:ascii="Arial" w:cs="Arial" w:eastAsia="Arial" w:hAnsi="Arial"/>
                <w:sz w:val="18"/>
                <w:szCs w:val="18"/>
                <w:color w:val="auto"/>
              </w:rPr>
              <w:t>2.5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318(a)</w:t>
            </w:r>
          </w:p>
        </w:tc>
        <w:tc>
          <w:tcPr>
            <w:tcW w:w="4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10.1</w:t>
            </w:r>
          </w:p>
        </w:tc>
      </w:tr>
      <w:tr>
        <w:trPr>
          <w:trHeight w:val="574"/>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62" w:name="page63"/>
    <w:bookmarkEnd w:id="62"/>
    <w:p>
      <w:pPr>
        <w:ind w:firstLine="648"/>
        <w:spacing w:after="0" w:line="308" w:lineRule="auto"/>
        <w:rPr>
          <w:sz w:val="20"/>
          <w:szCs w:val="20"/>
          <w:color w:val="auto"/>
        </w:rPr>
      </w:pPr>
      <w:r>
        <w:rPr>
          <w:rFonts w:ascii="Arial" w:cs="Arial" w:eastAsia="Arial" w:hAnsi="Arial"/>
          <w:sz w:val="17"/>
          <w:szCs w:val="17"/>
          <w:color w:val="auto"/>
        </w:rPr>
        <w:t>Indenture dated as of [ Islands (“Company”), and [</w:t>
      </w:r>
    </w:p>
    <w:p>
      <w:pPr>
        <w:spacing w:after="0" w:line="20" w:lineRule="exact"/>
        <w:rPr>
          <w:sz w:val="20"/>
          <w:szCs w:val="20"/>
          <w:color w:val="auto"/>
        </w:rPr>
      </w:pPr>
      <w:r>
        <w:rPr>
          <w:sz w:val="20"/>
          <w:szCs w:val="20"/>
          <w:color w:val="auto"/>
        </w:rPr>
        <w:br w:type="column"/>
      </w:r>
    </w:p>
    <w:p>
      <w:pPr>
        <w:ind w:left="-150" w:right="420" w:firstLine="150"/>
        <w:spacing w:after="0" w:line="277" w:lineRule="auto"/>
        <w:tabs>
          <w:tab w:leader="none" w:pos="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between Opera Limited, an exempted company incorporated with limited liability under the laws of the Cayman ] (“Trustee”).</w:t>
      </w:r>
    </w:p>
    <w:p>
      <w:pPr>
        <w:spacing w:after="0" w:line="169" w:lineRule="exact"/>
        <w:rPr>
          <w:sz w:val="20"/>
          <w:szCs w:val="20"/>
          <w:color w:val="auto"/>
        </w:rPr>
      </w:pPr>
    </w:p>
    <w:p>
      <w:pPr>
        <w:sectPr>
          <w:pgSz w:w="11900" w:h="16838" w:orient="portrait"/>
          <w:cols w:equalWidth="0" w:num="2">
            <w:col w:w="2280" w:space="310"/>
            <w:col w:w="8610"/>
          </w:cols>
          <w:pgMar w:left="320" w:top="584" w:right="379" w:bottom="1440" w:gutter="0" w:footer="0" w:header="0"/>
        </w:sectPr>
      </w:pPr>
    </w:p>
    <w:p>
      <w:pPr>
        <w:ind w:right="260" w:firstLine="648"/>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Chairman, its Chief Executive Officer, or any Vice President and by its Chief Financial Officer and delivered to the Trustee.</w:t>
      </w:r>
    </w:p>
    <w:p>
      <w:pPr>
        <w:spacing w:after="0" w:line="17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type w:val="continuous"/>
        </w:sectPr>
      </w:pPr>
    </w:p>
    <w:bookmarkStart w:id="63" w:name="page64"/>
    <w:bookmarkEnd w:id="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ECU</w:t>
      </w:r>
      <w:r>
        <w:rPr>
          <w:rFonts w:ascii="Arial" w:cs="Arial" w:eastAsia="Arial" w:hAnsi="Arial"/>
          <w:sz w:val="18"/>
          <w:szCs w:val="18"/>
          <w:color w:val="auto"/>
        </w:rPr>
        <w:t>” means the European Currency Unit as determined by the Commission of the European Union.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Government Obligations</w:t>
      </w:r>
      <w:r>
        <w:rPr>
          <w:rFonts w:ascii="Arial" w:cs="Arial" w:eastAsia="Arial" w:hAnsi="Arial"/>
          <w:sz w:val="16"/>
          <w:szCs w:val="16"/>
          <w:color w:val="auto"/>
        </w:rPr>
        <w:t>” means, with respect to Securities of any Series that are denominated in a Foreign Currency, (i) direct obligations of the government that issued or caused to be issued such currency for the payment of which obligations its full faith and credit is pledged or</w:t>
      </w:r>
    </w:p>
    <w:p>
      <w:pPr>
        <w:jc w:val="both"/>
        <w:ind w:right="560" w:firstLine="8"/>
        <w:spacing w:after="0" w:line="255" w:lineRule="auto"/>
        <w:tabs>
          <w:tab w:leader="none" w:pos="2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9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w:t>
      </w:r>
      <w:r>
        <w:rPr>
          <w:rFonts w:ascii="Arial" w:cs="Arial" w:eastAsia="Arial" w:hAnsi="Arial"/>
          <w:sz w:val="18"/>
          <w:szCs w:val="18"/>
          <w:i w:val="1"/>
          <w:iCs w:val="1"/>
          <w:color w:val="auto"/>
        </w:rPr>
        <w:t xml:space="preserve"> </w:t>
      </w:r>
      <w:r>
        <w:rPr>
          <w:rFonts w:ascii="Arial" w:cs="Arial" w:eastAsia="Arial" w:hAnsi="Arial"/>
          <w:sz w:val="18"/>
          <w:szCs w:val="18"/>
          <w:color w:val="auto"/>
        </w:rPr>
        <w:t>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 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IFRS</w:t>
      </w:r>
      <w:r>
        <w:rPr>
          <w:rFonts w:ascii="Arial" w:cs="Arial" w:eastAsia="Arial" w:hAnsi="Arial"/>
          <w:sz w:val="18"/>
          <w:szCs w:val="18"/>
          <w:color w:val="auto"/>
        </w:rPr>
        <w:t>” means International Financial Reporting Standards, as issued by the International Accounting Standards Board, , which are in effect as of the date of determination.</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the Chief Executive Officer, the Chief Operating Officer, or the Chief Financial Officer of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4" w:name="page65"/>
    <w:bookmarkEnd w:id="64"/>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which opinion, is acceptable to the Trustee. The counsel may be an employee of or counsel to the Company.</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who shall in each case have direct responsibility for the administration of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w:t>
      </w:r>
    </w:p>
    <w:p>
      <w:pPr>
        <w:spacing w:after="0" w:line="2" w:lineRule="exact"/>
        <w:rPr>
          <w:sz w:val="20"/>
          <w:szCs w:val="20"/>
          <w:color w:val="auto"/>
        </w:rPr>
      </w:pPr>
    </w:p>
    <w:p>
      <w:pPr>
        <w:ind w:right="60" w:firstLine="8"/>
        <w:spacing w:after="0" w:line="253" w:lineRule="auto"/>
        <w:tabs>
          <w:tab w:leader="none" w:pos="2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color w:val="auto"/>
              </w:rPr>
              <w:t>Section 1.2   Other Definitions.</w:t>
            </w:r>
          </w:p>
        </w:tc>
        <w:tc>
          <w:tcPr>
            <w:tcW w:w="46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453"/>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1320" w:type="dxa"/>
            <w:vAlign w:val="bottom"/>
            <w:tcBorders>
              <w:top w:val="single" w:sz="8" w:color="auto"/>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DEFINED IN SECTION</w:t>
            </w:r>
          </w:p>
        </w:tc>
      </w:tr>
      <w:tr>
        <w:trPr>
          <w:trHeight w:val="209"/>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5180" w:type="dxa"/>
            <w:vAlign w:val="bottom"/>
            <w:gridSpan w:val="2"/>
          </w:tcPr>
          <w:p>
            <w:pPr>
              <w:ind w:left="460"/>
              <w:spacing w:after="0"/>
              <w:rPr>
                <w:sz w:val="20"/>
                <w:szCs w:val="20"/>
                <w:color w:val="auto"/>
              </w:rPr>
            </w:pPr>
            <w:r>
              <w:rPr>
                <w:rFonts w:ascii="Arial" w:cs="Arial" w:eastAsia="Arial" w:hAnsi="Arial"/>
                <w:sz w:val="18"/>
                <w:szCs w:val="18"/>
                <w:color w:val="auto"/>
              </w:rPr>
              <w:t>6.1</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5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6.1</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Journal</w:t>
            </w:r>
            <w:r>
              <w:rPr>
                <w:rFonts w:ascii="Arial" w:cs="Arial" w:eastAsia="Arial" w:hAnsi="Arial"/>
                <w:sz w:val="18"/>
                <w:szCs w:val="18"/>
                <w:color w:val="auto"/>
              </w:rPr>
              <w:t>”</w:t>
            </w:r>
          </w:p>
        </w:tc>
        <w:tc>
          <w:tcPr>
            <w:tcW w:w="5180" w:type="dxa"/>
            <w:vAlign w:val="bottom"/>
            <w:gridSpan w:val="2"/>
          </w:tcPr>
          <w:p>
            <w:pPr>
              <w:ind w:left="460"/>
              <w:spacing w:after="0"/>
              <w:rPr>
                <w:sz w:val="20"/>
                <w:szCs w:val="20"/>
                <w:color w:val="auto"/>
              </w:rPr>
            </w:pPr>
            <w:r>
              <w:rPr>
                <w:rFonts w:ascii="Arial" w:cs="Arial" w:eastAsia="Arial" w:hAnsi="Arial"/>
                <w:sz w:val="18"/>
                <w:szCs w:val="18"/>
                <w:color w:val="auto"/>
              </w:rPr>
              <w:t>10.15</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5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10.16</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5180" w:type="dxa"/>
            <w:vAlign w:val="bottom"/>
            <w:gridSpan w:val="2"/>
          </w:tcPr>
          <w:p>
            <w:pPr>
              <w:ind w:left="460"/>
              <w:spacing w:after="0"/>
              <w:rPr>
                <w:sz w:val="20"/>
                <w:szCs w:val="20"/>
                <w:color w:val="auto"/>
              </w:rPr>
            </w:pPr>
            <w:r>
              <w:rPr>
                <w:rFonts w:ascii="Arial" w:cs="Arial" w:eastAsia="Arial" w:hAnsi="Arial"/>
                <w:sz w:val="18"/>
                <w:szCs w:val="18"/>
                <w:color w:val="auto"/>
              </w:rPr>
              <w:t>10.7</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5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11.1</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Market Exchange Rate</w:t>
            </w:r>
            <w:r>
              <w:rPr>
                <w:rFonts w:ascii="Arial" w:cs="Arial" w:eastAsia="Arial" w:hAnsi="Arial"/>
                <w:sz w:val="18"/>
                <w:szCs w:val="18"/>
                <w:color w:val="auto"/>
              </w:rPr>
              <w:t>”</w:t>
            </w:r>
          </w:p>
        </w:tc>
        <w:tc>
          <w:tcPr>
            <w:tcW w:w="5180" w:type="dxa"/>
            <w:vAlign w:val="bottom"/>
            <w:gridSpan w:val="2"/>
          </w:tcPr>
          <w:p>
            <w:pPr>
              <w:ind w:left="460"/>
              <w:spacing w:after="0"/>
              <w:rPr>
                <w:sz w:val="20"/>
                <w:szCs w:val="20"/>
                <w:color w:val="auto"/>
              </w:rPr>
            </w:pPr>
            <w:r>
              <w:rPr>
                <w:rFonts w:ascii="Arial" w:cs="Arial" w:eastAsia="Arial" w:hAnsi="Arial"/>
                <w:sz w:val="18"/>
                <w:szCs w:val="18"/>
                <w:color w:val="auto"/>
              </w:rPr>
              <w:t>10.15</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5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10.16</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5180" w:type="dxa"/>
            <w:vAlign w:val="bottom"/>
            <w:gridSpan w:val="2"/>
          </w:tcPr>
          <w:p>
            <w:pPr>
              <w:ind w:left="460"/>
              <w:spacing w:after="0"/>
              <w:rPr>
                <w:sz w:val="20"/>
                <w:szCs w:val="20"/>
                <w:color w:val="auto"/>
              </w:rPr>
            </w:pPr>
            <w:r>
              <w:rPr>
                <w:rFonts w:ascii="Arial" w:cs="Arial" w:eastAsia="Arial" w:hAnsi="Arial"/>
                <w:sz w:val="18"/>
                <w:szCs w:val="18"/>
                <w:color w:val="auto"/>
              </w:rPr>
              <w:t>2.4</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5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11.1</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5180" w:type="dxa"/>
            <w:vAlign w:val="bottom"/>
            <w:gridSpan w:val="2"/>
          </w:tcPr>
          <w:p>
            <w:pPr>
              <w:ind w:left="460"/>
              <w:spacing w:after="0"/>
              <w:rPr>
                <w:sz w:val="20"/>
                <w:szCs w:val="20"/>
                <w:color w:val="auto"/>
              </w:rPr>
            </w:pPr>
            <w:r>
              <w:rPr>
                <w:rFonts w:ascii="Arial" w:cs="Arial" w:eastAsia="Arial" w:hAnsi="Arial"/>
                <w:sz w:val="18"/>
                <w:szCs w:val="18"/>
                <w:color w:val="auto"/>
              </w:rPr>
              <w:t>2.4</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5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2.4</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5180" w:type="dxa"/>
            <w:vAlign w:val="bottom"/>
            <w:gridSpan w:val="2"/>
          </w:tcPr>
          <w:p>
            <w:pPr>
              <w:ind w:left="460"/>
              <w:spacing w:after="0"/>
              <w:rPr>
                <w:sz w:val="20"/>
                <w:szCs w:val="20"/>
                <w:color w:val="auto"/>
              </w:rPr>
            </w:pPr>
            <w:r>
              <w:rPr>
                <w:rFonts w:ascii="Arial" w:cs="Arial" w:eastAsia="Arial" w:hAnsi="Arial"/>
                <w:sz w:val="18"/>
                <w:szCs w:val="18"/>
                <w:color w:val="auto"/>
              </w:rPr>
              <w:t>10.16</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5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Incorporation by Reference of Trust Indenture Act.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5580" w:right="3080" w:hanging="4924"/>
        <w:spacing w:after="0" w:line="527" w:lineRule="auto"/>
        <w:tabs>
          <w:tab w:leader="none" w:pos="10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6" w:name="page67"/>
    <w:bookmarkEnd w:id="66"/>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[US$300 million].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or Officers’ Certificate, and associated supplemental indenture:</w:t>
      </w:r>
    </w:p>
    <w:p>
      <w:pPr>
        <w:spacing w:after="0" w:line="14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title of the Series (which shall distinguish the Securities of that particular Series from the Securities of any other Series);</w:t>
      </w:r>
    </w:p>
    <w:p>
      <w:pPr>
        <w:spacing w:after="0" w:line="225"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25" w:lineRule="exact"/>
        <w:rPr>
          <w:sz w:val="20"/>
          <w:szCs w:val="20"/>
          <w:color w:val="auto"/>
        </w:rPr>
      </w:pPr>
    </w:p>
    <w:p>
      <w:pPr>
        <w:jc w:val="both"/>
        <w:ind w:right="680" w:firstLine="648"/>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firstLine="648"/>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color w:val="auto"/>
        </w:rPr>
        <w:t>if other than denominations of $1,000 and any integral multiple thereof, the denominations in which the Securities of the Series shall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issuable;</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forms of the Securities of the Series and whether the Securities will be issuable as Global Securities;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2.2.13 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2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provisions, if any, relating to any security provided for the Securities of the Series;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2.2.18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or change in the covenants set forth in Articles IV or V which applies to Securities of the Series;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ind w:left="660"/>
        <w:spacing w:after="0"/>
        <w:tabs>
          <w:tab w:leader="none" w:pos="1320" w:val="left"/>
        </w:tabs>
        <w:rPr>
          <w:sz w:val="20"/>
          <w:szCs w:val="20"/>
          <w:color w:val="auto"/>
        </w:rPr>
      </w:pPr>
      <w:r>
        <w:rPr>
          <w:rFonts w:ascii="Arial" w:cs="Arial" w:eastAsia="Arial" w:hAnsi="Arial"/>
          <w:sz w:val="18"/>
          <w:szCs w:val="18"/>
          <w:color w:val="auto"/>
        </w:rPr>
        <w:t>2.2.20</w:t>
      </w:r>
      <w:r>
        <w:rPr>
          <w:sz w:val="20"/>
          <w:szCs w:val="20"/>
          <w:color w:val="auto"/>
        </w:rPr>
        <w:tab/>
      </w:r>
      <w:r>
        <w:rPr>
          <w:rFonts w:ascii="Arial" w:cs="Arial" w:eastAsia="Arial" w:hAnsi="Arial"/>
          <w:sz w:val="16"/>
          <w:szCs w:val="16"/>
          <w:color w:val="auto"/>
        </w:rPr>
        <w:t>any material income tax considerations applicable;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2.2.21 if the Securities of the Series are to be convertible into or exchangeable for any securities of any Person (including the Company), the terms and conditions upon which such Securities will be so convertible or exchangeable;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16"/>
          <w:szCs w:val="16"/>
          <w:color w:val="auto"/>
        </w:rPr>
        <w:t>whether the Securities of the Series are subject to subordination and the terms of such subordination;</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2.2.23 any other terms of the Securities of the Series (which may supplement, modify or delete any provision of this Indenture insofar as it applies to such Series); and</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2.2.24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Officers shall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Security shall not be valid until authenticated by the manual or facsimile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6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ind w:right="100" w:firstLine="8"/>
        <w:spacing w:after="0" w:line="281" w:lineRule="auto"/>
        <w:tabs>
          <w:tab w:leader="none" w:pos="2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Opinion of Counsel complying with Section 10.4.</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shall determine that such action would expose the Trustee to personal liability to Holders of any then outstanding Series of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ind w:right="120"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where Securities of such Series eries that are convertible or exchangeable may be surrendered for conversion or exchange, as applicable, where Securities of such Series may be surrendered for conversion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w:t>
      </w:r>
    </w:p>
    <w:p>
      <w:pPr>
        <w:spacing w:after="0" w:line="17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may also from time to time designate one or more co-registrars, additional paying agents or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notice agent. The term “Registrar” includes any co-registrar; the term “Paying Agent” includes any additional paying agent; and the term “Notice Agent” includes any additional notice agent.</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appoints The Depository Trust Company to act as Depositary with respect to the Securities.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0" w:name="page71"/>
    <w:bookmarkEnd w:id="70"/>
    <w:p>
      <w:pPr>
        <w:spacing w:after="0"/>
        <w:tabs>
          <w:tab w:leader="none" w:pos="10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 Holder Lists.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upon receipt of a Company Order.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p>
    <w:p>
      <w:pPr>
        <w:spacing w:after="0" w:line="225"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right="120" w:firstLine="8"/>
        <w:spacing w:after="0" w:line="273" w:lineRule="auto"/>
        <w:tabs>
          <w:tab w:leader="none" w:pos="2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1" w:name="page72"/>
    <w:bookmarkEnd w:id="71"/>
    <w:p>
      <w:pPr>
        <w:ind w:firstLine="648"/>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Treasury Securities.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2" w:name="page73"/>
    <w:bookmarkEnd w:id="72"/>
    <w:p>
      <w:pPr>
        <w:spacing w:after="0"/>
        <w:tabs>
          <w:tab w:leader="none" w:pos="11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and deliver a certificate of such destruction to the Company, unless the Company otherwise directs. The Company may not issue new Securities to replace Securities that it has paid or delivered to the Trustee for cancellation.</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record date and payment date. At least 10 days before the record date, the Company shall mail to the Trustee and to each Security Holder of the Series a notice that states the record date, the payment date and the amount of interest to be paid. The Company may pay defaulted interest in any other lawful manner.</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2.14.1 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2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2.14.2 Transfer and Exchange.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color w:val="auto"/>
        </w:rPr>
        <w:t>Legend. Any Global Security issued hereunder shall bear a legend in substantially the following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3" w:name="page74"/>
    <w:bookmarkEnd w:id="73"/>
    <w:p>
      <w:pPr>
        <w:ind w:right="40" w:firstLine="648"/>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2.14.4 Acts of Holders.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2.14.5 Payments.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2.14.6 Consents, Declaration and Directions.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p>
    <w:p>
      <w:pPr>
        <w:spacing w:after="0" w:line="22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1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and in accordance with its customary practices or the selection shall be in accordance with DTC procedures, as applicable.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spacing w:after="0"/>
        <w:tabs>
          <w:tab w:leader="none" w:pos="102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Company’s request, the Trustee shall give the notice of redemption prepared by the Company, in the Company’s name and at its expense.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or before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p>
    <w:p>
      <w:pPr>
        <w:spacing w:after="0" w:line="22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Upon surrender of a Security that is redeemed in part, the Trustee, upon receipt of a Company Order, shall authenticate for the Holder a new Security of the same Series and the same maturity equal in principal amount to the unredeemed portion of the Security surrendered.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5" w:name="page76"/>
    <w:bookmarkEnd w:id="75"/>
    <w:p>
      <w:pPr>
        <w:ind w:left="510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9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Corporate Existence.</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“successor person”) unless:</w:t>
      </w:r>
    </w:p>
    <w:p>
      <w:pPr>
        <w:spacing w:after="0" w:line="170" w:lineRule="exact"/>
        <w:rPr>
          <w:sz w:val="20"/>
          <w:szCs w:val="20"/>
          <w:color w:val="auto"/>
        </w:rPr>
      </w:pPr>
    </w:p>
    <w:p>
      <w:pPr>
        <w:ind w:firstLine="656"/>
        <w:spacing w:after="0" w:line="342" w:lineRule="auto"/>
        <w:tabs>
          <w:tab w:leader="none" w:pos="10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23" w:lineRule="exact"/>
        <w:rPr>
          <w:rFonts w:ascii="Arial" w:cs="Arial" w:eastAsia="Arial" w:hAnsi="Arial"/>
          <w:sz w:val="16"/>
          <w:szCs w:val="16"/>
          <w:color w:val="auto"/>
        </w:rPr>
      </w:pPr>
    </w:p>
    <w:p>
      <w:pPr>
        <w:ind w:left="1100" w:hanging="444"/>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0"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222" w:lineRule="exact"/>
        <w:rPr>
          <w:sz w:val="20"/>
          <w:szCs w:val="20"/>
          <w:color w:val="auto"/>
        </w:rPr>
      </w:pPr>
    </w:p>
    <w:p>
      <w:pPr>
        <w:jc w:val="both"/>
        <w:ind w:firstLine="656"/>
        <w:spacing w:after="0" w:line="263" w:lineRule="auto"/>
        <w:tabs>
          <w:tab w:leader="none" w:pos="10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right="80" w:firstLine="656"/>
        <w:spacing w:after="0" w:line="257" w:lineRule="auto"/>
        <w:tabs>
          <w:tab w:leader="none" w:pos="10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7" w:name="page78"/>
    <w:bookmarkEnd w:id="77"/>
    <w:p>
      <w:pPr>
        <w:ind w:left="1100" w:hanging="444"/>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sz w:val="20"/>
          <w:szCs w:val="20"/>
          <w:color w:val="auto"/>
        </w:rPr>
      </w:pPr>
    </w:p>
    <w:p>
      <w:pPr>
        <w:ind w:left="660"/>
        <w:spacing w:after="0"/>
        <w:tabs>
          <w:tab w:leader="none" w:pos="1060" w:val="left"/>
          <w:tab w:leader="none" w:pos="2780" w:val="left"/>
        </w:tabs>
        <w:rPr>
          <w:sz w:val="20"/>
          <w:szCs w:val="20"/>
          <w:color w:val="auto"/>
        </w:rPr>
      </w:pPr>
      <w:r>
        <w:rPr>
          <w:rFonts w:ascii="Arial" w:cs="Arial" w:eastAsia="Arial" w:hAnsi="Arial"/>
          <w:sz w:val="18"/>
          <w:szCs w:val="18"/>
          <w:color w:val="auto"/>
        </w:rPr>
        <w:t>(e)</w:t>
        <w:tab/>
        <w:t>(e)</w:t>
      </w:r>
      <w:r>
        <w:rPr>
          <w:sz w:val="20"/>
          <w:szCs w:val="20"/>
          <w:color w:val="auto"/>
        </w:rPr>
        <w:tab/>
      </w:r>
      <w:r>
        <w:rPr>
          <w:rFonts w:ascii="Arial" w:cs="Arial" w:eastAsia="Arial" w:hAnsi="Arial"/>
          <w:sz w:val="16"/>
          <w:szCs w:val="16"/>
          <w:color w:val="auto"/>
        </w:rPr>
        <w:t>a court of competent jurisdiction enters an order or decree under any Bankruptcy Law that:</w:t>
      </w:r>
    </w:p>
    <w:p>
      <w:pPr>
        <w:spacing w:after="0" w:line="225" w:lineRule="exact"/>
        <w:rPr>
          <w:sz w:val="20"/>
          <w:szCs w:val="20"/>
          <w:color w:val="auto"/>
        </w:rPr>
      </w:pPr>
    </w:p>
    <w:p>
      <w:pPr>
        <w:ind w:left="1700" w:hanging="396"/>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right="500" w:firstLine="656"/>
        <w:spacing w:after="0" w:line="277" w:lineRule="auto"/>
        <w:tabs>
          <w:tab w:leader="none" w:pos="10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4" w:lineRule="exact"/>
        <w:rPr>
          <w:sz w:val="20"/>
          <w:szCs w:val="20"/>
          <w:color w:val="auto"/>
        </w:rPr>
      </w:pPr>
    </w:p>
    <w:p>
      <w:pPr>
        <w:ind w:right="120" w:firstLine="8"/>
        <w:spacing w:after="0" w:line="260"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8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80" w:firstLine="656"/>
        <w:spacing w:after="0" w:line="277" w:lineRule="auto"/>
        <w:tabs>
          <w:tab w:leader="none" w:pos="10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ind w:right="180" w:firstLine="656"/>
        <w:spacing w:after="0" w:line="311" w:lineRule="auto"/>
        <w:tabs>
          <w:tab w:leader="none" w:pos="1073"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8" w:lineRule="exact"/>
        <w:rPr>
          <w:rFonts w:ascii="Arial" w:cs="Arial" w:eastAsia="Arial" w:hAnsi="Arial"/>
          <w:sz w:val="16"/>
          <w:szCs w:val="16"/>
          <w:color w:val="auto"/>
        </w:rPr>
      </w:pPr>
    </w:p>
    <w:p>
      <w:pPr>
        <w:ind w:left="1100" w:hanging="444"/>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7.8.</w:t>
      </w:r>
    </w:p>
    <w:p>
      <w:pPr>
        <w:spacing w:after="0" w:line="18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7.8; and</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 or to such party as a court of competent jurisdiction shall direct.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7"/>
          <w:szCs w:val="17"/>
          <w:u w:val="single" w:color="auto"/>
          <w:color w:val="auto"/>
        </w:rPr>
        <w:t>Limitation on Suits.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5540" w:right="120" w:hanging="4884"/>
        <w:spacing w:after="0" w:line="527" w:lineRule="auto"/>
        <w:tabs>
          <w:tab w:leader="none" w:pos="10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Securities of that Series;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0" w:name="page81"/>
    <w:bookmarkEnd w:id="80"/>
    <w:p>
      <w:pPr>
        <w:ind w:right="460" w:firstLine="656"/>
        <w:spacing w:after="0" w:line="277" w:lineRule="auto"/>
        <w:tabs>
          <w:tab w:leader="none" w:pos="10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420" w:firstLine="656"/>
        <w:spacing w:after="0" w:line="277" w:lineRule="auto"/>
        <w:tabs>
          <w:tab w:leader="none" w:pos="10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right="180" w:firstLine="656"/>
        <w:spacing w:after="0" w:line="277" w:lineRule="auto"/>
        <w:tabs>
          <w:tab w:leader="none" w:pos="10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1" w:name="page82"/>
    <w:bookmarkEnd w:id="81"/>
    <w:p>
      <w:pPr>
        <w:spacing w:after="0"/>
        <w:tabs>
          <w:tab w:leader="none" w:pos="11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240" w:firstLine="656"/>
        <w:spacing w:after="0" w:line="308" w:lineRule="auto"/>
        <w:tabs>
          <w:tab w:leader="none" w:pos="1073"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p>
    <w:p>
      <w:pPr>
        <w:spacing w:after="0" w:line="225" w:lineRule="exact"/>
        <w:rPr>
          <w:sz w:val="20"/>
          <w:szCs w:val="20"/>
          <w:color w:val="auto"/>
        </w:rPr>
      </w:pPr>
    </w:p>
    <w:p>
      <w:pPr>
        <w:ind w:right="120" w:firstLine="656"/>
        <w:spacing w:after="0" w:line="342" w:lineRule="auto"/>
        <w:tabs>
          <w:tab w:leader="none" w:pos="1073"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the rights and powers vested in it by this Indenture and use the same degree of care and skill in their exercise as a prudent man would exercise or use under the circumstances in the conduct of his own affairs.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2" w:name="page83"/>
    <w:bookmarkEnd w:id="82"/>
    <w:p>
      <w:pPr>
        <w:ind w:left="1100" w:hanging="444"/>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ind w:right="80" w:firstLine="1304"/>
        <w:spacing w:after="0" w:line="296" w:lineRule="auto"/>
        <w:tabs>
          <w:tab w:leader="none" w:pos="1741"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61" w:lineRule="exact"/>
        <w:rPr>
          <w:rFonts w:ascii="Arial" w:cs="Arial" w:eastAsia="Arial" w:hAnsi="Arial"/>
          <w:sz w:val="16"/>
          <w:szCs w:val="16"/>
          <w:color w:val="auto"/>
        </w:rPr>
      </w:pPr>
    </w:p>
    <w:p>
      <w:pPr>
        <w:ind w:left="1080" w:hanging="424"/>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210" w:lineRule="exact"/>
        <w:rPr>
          <w:rFonts w:ascii="Arial" w:cs="Arial" w:eastAsia="Arial" w:hAnsi="Arial"/>
          <w:sz w:val="17"/>
          <w:szCs w:val="17"/>
          <w:color w:val="auto"/>
        </w:rPr>
      </w:pPr>
    </w:p>
    <w:p>
      <w:pPr>
        <w:ind w:left="1700" w:hanging="396"/>
        <w:spacing w:after="0"/>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right="220" w:firstLine="1304"/>
        <w:spacing w:after="0" w:line="277" w:lineRule="auto"/>
        <w:tabs>
          <w:tab w:leader="none" w:pos="174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right="200" w:firstLine="1304"/>
        <w:spacing w:after="0" w:line="291" w:lineRule="auto"/>
        <w:tabs>
          <w:tab w:leader="none" w:pos="1791"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w:t>
      </w:r>
    </w:p>
    <w:p>
      <w:pPr>
        <w:ind w:right="560"/>
        <w:spacing w:after="0" w:line="260" w:lineRule="auto"/>
        <w:rPr>
          <w:rFonts w:ascii="Arial" w:cs="Arial" w:eastAsia="Arial" w:hAnsi="Arial"/>
          <w:sz w:val="16"/>
          <w:szCs w:val="16"/>
          <w:color w:val="auto"/>
        </w:rPr>
      </w:pPr>
      <w:r>
        <w:rPr>
          <w:rFonts w:ascii="Arial" w:cs="Arial" w:eastAsia="Arial" w:hAnsi="Arial"/>
          <w:sz w:val="18"/>
          <w:szCs w:val="18"/>
          <w:color w:val="auto"/>
        </w:rPr>
        <w:t>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5" w:lineRule="exact"/>
        <w:rPr>
          <w:rFonts w:ascii="Arial" w:cs="Arial" w:eastAsia="Arial" w:hAnsi="Arial"/>
          <w:sz w:val="16"/>
          <w:szCs w:val="16"/>
          <w:color w:val="auto"/>
        </w:rPr>
      </w:pPr>
    </w:p>
    <w:p>
      <w:pPr>
        <w:ind w:left="1780" w:hanging="476"/>
        <w:spacing w:after="0"/>
        <w:tabs>
          <w:tab w:leader="none" w:pos="17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paragraph (a), (b) and (c) of this Section.</w:t>
      </w:r>
    </w:p>
    <w:p>
      <w:pPr>
        <w:spacing w:after="0" w:line="236" w:lineRule="exact"/>
        <w:rPr>
          <w:rFonts w:ascii="Arial" w:cs="Arial" w:eastAsia="Arial" w:hAnsi="Arial"/>
          <w:sz w:val="17"/>
          <w:szCs w:val="17"/>
          <w:color w:val="auto"/>
        </w:rPr>
      </w:pPr>
    </w:p>
    <w:p>
      <w:pPr>
        <w:ind w:right="140" w:firstLine="656"/>
        <w:spacing w:after="0" w:line="277" w:lineRule="auto"/>
        <w:tabs>
          <w:tab w:leader="none" w:pos="10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security or indemnity satisfactory to it against any loss, liability or expense.</w:t>
      </w:r>
    </w:p>
    <w:p>
      <w:pPr>
        <w:spacing w:after="0" w:line="170" w:lineRule="exact"/>
        <w:rPr>
          <w:rFonts w:ascii="Arial" w:cs="Arial" w:eastAsia="Arial" w:hAnsi="Arial"/>
          <w:sz w:val="18"/>
          <w:szCs w:val="18"/>
          <w:color w:val="auto"/>
        </w:rPr>
      </w:pPr>
    </w:p>
    <w:p>
      <w:pPr>
        <w:ind w:firstLine="656"/>
        <w:spacing w:after="0" w:line="277" w:lineRule="auto"/>
        <w:tabs>
          <w:tab w:leader="none" w:pos="10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right="80" w:firstLine="656"/>
        <w:spacing w:after="0" w:line="263" w:lineRule="auto"/>
        <w:tabs>
          <w:tab w:leader="none" w:pos="10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83" w:lineRule="exact"/>
        <w:rPr>
          <w:rFonts w:ascii="Arial" w:cs="Arial" w:eastAsia="Arial" w:hAnsi="Arial"/>
          <w:sz w:val="18"/>
          <w:szCs w:val="18"/>
          <w:color w:val="auto"/>
        </w:rPr>
      </w:pPr>
    </w:p>
    <w:p>
      <w:pPr>
        <w:ind w:right="240" w:firstLine="656"/>
        <w:spacing w:after="0" w:line="277" w:lineRule="auto"/>
        <w:tabs>
          <w:tab w:leader="none" w:pos="10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Paying Agent, the Registrar, the Notice Agent, any agent and any authenticating agent shall be entitled to the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p>
    <w:p>
      <w:pPr>
        <w:spacing w:after="0" w:line="225" w:lineRule="exact"/>
        <w:rPr>
          <w:sz w:val="20"/>
          <w:szCs w:val="20"/>
          <w:color w:val="auto"/>
        </w:rPr>
      </w:pPr>
    </w:p>
    <w:p>
      <w:pPr>
        <w:ind w:right="280" w:firstLine="656"/>
        <w:spacing w:after="0" w:line="308" w:lineRule="auto"/>
        <w:tabs>
          <w:tab w:leader="none" w:pos="1073"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3" w:name="page84"/>
    <w:bookmarkEnd w:id="83"/>
    <w:p>
      <w:pPr>
        <w:ind w:right="200" w:firstLine="656"/>
        <w:spacing w:after="0" w:line="259" w:lineRule="auto"/>
        <w:tabs>
          <w:tab w:leader="none" w:pos="10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86" w:lineRule="exact"/>
        <w:rPr>
          <w:rFonts w:ascii="Arial" w:cs="Arial" w:eastAsia="Arial" w:hAnsi="Arial"/>
          <w:sz w:val="18"/>
          <w:szCs w:val="18"/>
          <w:color w:val="auto"/>
        </w:rPr>
      </w:pPr>
    </w:p>
    <w:p>
      <w:pPr>
        <w:ind w:right="100" w:firstLine="656"/>
        <w:spacing w:after="0" w:line="308" w:lineRule="auto"/>
        <w:tabs>
          <w:tab w:leader="none" w:pos="10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46" w:lineRule="exact"/>
        <w:rPr>
          <w:rFonts w:ascii="Arial" w:cs="Arial" w:eastAsia="Arial" w:hAnsi="Arial"/>
          <w:sz w:val="17"/>
          <w:szCs w:val="17"/>
          <w:color w:val="auto"/>
        </w:rPr>
      </w:pPr>
    </w:p>
    <w:p>
      <w:pPr>
        <w:ind w:right="180" w:firstLine="656"/>
        <w:spacing w:after="0" w:line="263" w:lineRule="auto"/>
        <w:tabs>
          <w:tab w:leader="none" w:pos="10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special, punitive or consequential damages, even if they were reasonably foreseeable.</w:t>
      </w:r>
    </w:p>
    <w:p>
      <w:pPr>
        <w:spacing w:after="0" w:line="183" w:lineRule="exact"/>
        <w:rPr>
          <w:rFonts w:ascii="Arial" w:cs="Arial" w:eastAsia="Arial" w:hAnsi="Arial"/>
          <w:sz w:val="18"/>
          <w:szCs w:val="18"/>
          <w:color w:val="auto"/>
        </w:rPr>
      </w:pPr>
    </w:p>
    <w:p>
      <w:pPr>
        <w:ind w:firstLine="656"/>
        <w:spacing w:after="0" w:line="263" w:lineRule="auto"/>
        <w:tabs>
          <w:tab w:leader="none" w:pos="10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83" w:lineRule="exact"/>
        <w:rPr>
          <w:rFonts w:ascii="Arial" w:cs="Arial" w:eastAsia="Arial" w:hAnsi="Arial"/>
          <w:sz w:val="18"/>
          <w:szCs w:val="18"/>
          <w:color w:val="auto"/>
        </w:rPr>
      </w:pPr>
    </w:p>
    <w:p>
      <w:pPr>
        <w:jc w:val="both"/>
        <w:ind w:right="280" w:firstLine="656"/>
        <w:spacing w:after="0" w:line="263" w:lineRule="auto"/>
        <w:tabs>
          <w:tab w:leader="none" w:pos="10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08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65" w:lineRule="exact"/>
        <w:rPr>
          <w:rFonts w:ascii="Arial" w:cs="Arial" w:eastAsia="Arial" w:hAnsi="Arial"/>
          <w:sz w:val="17"/>
          <w:szCs w:val="17"/>
          <w:color w:val="auto"/>
        </w:rPr>
      </w:pPr>
    </w:p>
    <w:p>
      <w:pPr>
        <w:ind w:right="220" w:firstLine="656"/>
        <w:spacing w:after="0" w:line="286" w:lineRule="auto"/>
        <w:tabs>
          <w:tab w:leader="none" w:pos="108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(other than a payment default under Section 6.1 or 6.2) unless a Responsible Officer of the Trustee has received written notice of any event which is in fact such a default at the Corporate Trust Office of the Trustee, and such notice references the Securities generally or the Securities of a particular Series and this Indenture.</w:t>
      </w:r>
    </w:p>
    <w:p>
      <w:pPr>
        <w:spacing w:after="0" w:line="165"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 (i) The rights, privileges, protections, immunities and benefits given to the Trustee, including without limitation its right to be indemnified, are extended to, and shall enforceable by, the Trustee in each of its capacities hereunder, and to each agent, custodian and other Person employed to act hereunder.</w:t>
      </w:r>
    </w:p>
    <w:p>
      <w:pPr>
        <w:spacing w:after="0" w:line="184" w:lineRule="exact"/>
        <w:rPr>
          <w:sz w:val="20"/>
          <w:szCs w:val="20"/>
          <w:color w:val="auto"/>
        </w:rPr>
      </w:pPr>
    </w:p>
    <w:p>
      <w:pPr>
        <w:ind w:right="80" w:firstLine="656"/>
        <w:spacing w:after="0" w:line="286" w:lineRule="auto"/>
        <w:tabs>
          <w:tab w:leader="none" w:pos="10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shall have no duty to inquire as to or monitor the performance of the Issuer with respect to the covenants contained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11" w:lineRule="exact"/>
        <w:rPr>
          <w:sz w:val="20"/>
          <w:szCs w:val="20"/>
          <w:color w:val="auto"/>
        </w:rPr>
      </w:pPr>
    </w:p>
    <w:p>
      <w:pPr>
        <w:ind w:left="5540" w:right="220" w:hanging="4884"/>
        <w:spacing w:after="0" w:line="527" w:lineRule="auto"/>
        <w:tabs>
          <w:tab w:leader="none" w:pos="10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required to give any note, bond or surety in respect of the execution of the trusts and powers under this Indenture.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4" w:name="page85"/>
    <w:bookmarkEnd w:id="84"/>
    <w:p>
      <w:pPr>
        <w:ind w:right="2060" w:firstLine="656"/>
        <w:spacing w:after="0" w:line="500" w:lineRule="auto"/>
        <w:tabs>
          <w:tab w:leader="none" w:pos="11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Nothing herein shall be deemed to require the Trustee to submit to the jurisdiction or venue of a non-U.S. court. Section 7.3 </w:t>
      </w:r>
      <w:r>
        <w:rPr>
          <w:rFonts w:ascii="Arial" w:cs="Arial" w:eastAsia="Arial" w:hAnsi="Arial"/>
          <w:sz w:val="18"/>
          <w:szCs w:val="18"/>
          <w:u w:val="single" w:color="auto"/>
          <w:color w:val="auto"/>
        </w:rPr>
        <w:t>Force Majeure.</w:t>
      </w:r>
    </w:p>
    <w:p>
      <w:pPr>
        <w:spacing w:after="0" w:line="2" w:lineRule="exact"/>
        <w:rPr>
          <w:sz w:val="20"/>
          <w:szCs w:val="20"/>
          <w:color w:val="auto"/>
        </w:rPr>
      </w:pPr>
    </w:p>
    <w:p>
      <w:pPr>
        <w:ind w:right="240" w:firstLine="656"/>
        <w:spacing w:after="0" w:line="279" w:lineRule="auto"/>
        <w:tabs>
          <w:tab w:leader="none" w:pos="10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Trustee shall have no liability for delays or inability to perform its duties hereunder due to </w:t>
      </w:r>
      <w:r>
        <w:rPr>
          <w:rFonts w:ascii="Arial" w:cs="Arial" w:eastAsia="Arial" w:hAnsi="Arial"/>
          <w:sz w:val="17"/>
          <w:szCs w:val="17"/>
          <w:u w:val="single" w:color="auto"/>
          <w:color w:val="auto"/>
        </w:rPr>
        <w:t>forces majeures</w:t>
      </w:r>
      <w:r>
        <w:rPr>
          <w:rFonts w:ascii="Arial" w:cs="Arial" w:eastAsia="Arial" w:hAnsi="Arial"/>
          <w:sz w:val="17"/>
          <w:szCs w:val="17"/>
          <w:color w:val="auto"/>
        </w:rPr>
        <w:t>,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71" w:lineRule="exact"/>
        <w:rPr>
          <w:rFonts w:ascii="Arial" w:cs="Arial" w:eastAsia="Arial" w:hAnsi="Arial"/>
          <w:sz w:val="17"/>
          <w:szCs w:val="17"/>
          <w:color w:val="auto"/>
        </w:rPr>
      </w:pPr>
    </w:p>
    <w:p>
      <w:pPr>
        <w:ind w:right="120" w:firstLine="656"/>
        <w:spacing w:after="0" w:line="277" w:lineRule="auto"/>
        <w:tabs>
          <w:tab w:leader="none" w:pos="10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Delivery of reports or information by the Company shall not be deemed to confer actual or constructive knowledge or notice on the Trustee with respect to a Default or Event of Default, or otherwise.</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Individual Rights of Trustee.</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Trustee’s Disclaimer.</w:t>
      </w:r>
    </w:p>
    <w:p>
      <w:pPr>
        <w:spacing w:after="0" w:line="225"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Notice of Defaults.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mail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of such Default or Event of Default. Except in the case of a Default or Event of Default in payment of principal of or interest on any Security of any Series, or in the payment of any sinking fund installment, the Trustee may withhold the notice if and so long as its corporate trust committee or a committee of its Responsible Officers in good faith determines that withholding the notice is in the interests of Security Holders of that Series.</w:t>
      </w:r>
    </w:p>
    <w:p>
      <w:pPr>
        <w:spacing w:after="0" w:line="1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Reports by Trustee to Holders.</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Within 60 days after May 15 in each year, the Trustee shall transmit by mail to all Security Holders, as their names and addresses appear on the register kept by the Registrar, a brief report dated as of such May 15, in accordance with, and to the extent required under, TIA § 313.</w:t>
      </w:r>
    </w:p>
    <w:p>
      <w:pPr>
        <w:spacing w:after="0" w:line="12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 copy of each report at the time of its mailing to Security Holders of any Series shall be filed with the SEC and each stock exchange on which the Securities of that Series are listed. The Company shall promptly notify the Trustee when Securities of any Series are listed on any stock exchange.</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Compensation and Indemnity.</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right="100" w:firstLine="648"/>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against any loss, liability or expense (including the cost of defending itself) incurred by it except as set forth in the next paragraph in the performance of the Trustee duties under this Indenture as Trustee or Agent. The Trustee shall notify the Company promptly of any claim for which it may seek indemnity; provided, however, that failure to so notify the Company shall not relieve it of its obligations hereunder. The Company shall defend the claim and the Trustee shall cooperate in the defense; provided, however, the Trustee may conduct its own defense if there is a conflict of interest between the interests of the Company and those of the Trustee. The Trustee may have one separate counsel (in addition to local counsel, if applicable)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or agents of the Trustee.</w:t>
      </w:r>
    </w:p>
    <w:p>
      <w:pPr>
        <w:spacing w:after="0" w:line="178"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8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and removal of the Trustee.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Replacement of Trustee.</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65"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fails to comply with Section 7.11;</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248" w:lineRule="exact"/>
        <w:rPr>
          <w:rFonts w:ascii="Arial" w:cs="Arial" w:eastAsia="Arial" w:hAnsi="Arial"/>
          <w:sz w:val="16"/>
          <w:szCs w:val="16"/>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ind w:right="80" w:firstLine="648"/>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w:t>
      </w:r>
    </w:p>
    <w:p>
      <w:pPr>
        <w:spacing w:after="0" w:line="1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u w:val="single" w:color="auto"/>
          <w:color w:val="auto"/>
        </w:rPr>
        <w:t>Successor Trustee by Merger, etc.</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u w:val="single" w:color="auto"/>
          <w:color w:val="auto"/>
        </w:rPr>
        <w:t>Eligibility; Disqualification.</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Preferential Collection of Claims Against Company.</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46"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right="280" w:firstLine="1304"/>
        <w:spacing w:after="0" w:line="277" w:lineRule="auto"/>
        <w:tabs>
          <w:tab w:leader="none" w:pos="1691"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7" w:name="page88"/>
    <w:bookmarkEnd w:id="87"/>
    <w:p>
      <w:pPr>
        <w:ind w:left="1740" w:hanging="436"/>
        <w:spacing w:after="0"/>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sz w:val="20"/>
          <w:szCs w:val="20"/>
          <w:color w:val="auto"/>
        </w:rPr>
      </w:pPr>
    </w:p>
    <w:p>
      <w:pPr>
        <w:ind w:left="1740" w:hanging="436"/>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right="160" w:firstLine="1304"/>
        <w:spacing w:after="0" w:line="277" w:lineRule="auto"/>
        <w:tabs>
          <w:tab w:leader="none" w:pos="17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and the Company, in the case of (1), (2) or (3)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7" w:lineRule="exact"/>
        <w:rPr>
          <w:sz w:val="20"/>
          <w:szCs w:val="20"/>
          <w:color w:val="auto"/>
        </w:rPr>
      </w:pPr>
    </w:p>
    <w:p>
      <w:pPr>
        <w:ind w:left="1100" w:hanging="444"/>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420" w:firstLine="656"/>
        <w:spacing w:after="0" w:line="277" w:lineRule="auto"/>
        <w:tabs>
          <w:tab w:leader="none" w:pos="10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p>
    <w:p>
      <w:pPr>
        <w:spacing w:after="0" w:line="225" w:lineRule="exact"/>
        <w:rPr>
          <w:sz w:val="20"/>
          <w:szCs w:val="20"/>
          <w:color w:val="auto"/>
        </w:rPr>
      </w:pPr>
    </w:p>
    <w:p>
      <w:pPr>
        <w:ind w:right="40" w:firstLine="656"/>
        <w:spacing w:after="0" w:line="254" w:lineRule="auto"/>
        <w:tabs>
          <w:tab w:leader="none" w:pos="10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94" w:lineRule="exact"/>
        <w:rPr>
          <w:rFonts w:ascii="Arial" w:cs="Arial" w:eastAsia="Arial" w:hAnsi="Arial"/>
          <w:sz w:val="18"/>
          <w:szCs w:val="18"/>
          <w:color w:val="auto"/>
        </w:rPr>
      </w:pPr>
    </w:p>
    <w:p>
      <w:pPr>
        <w:ind w:right="200" w:firstLine="656"/>
        <w:spacing w:after="0" w:line="263" w:lineRule="auto"/>
        <w:tabs>
          <w:tab w:leader="none" w:pos="10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183" w:lineRule="exact"/>
        <w:rPr>
          <w:rFonts w:ascii="Arial" w:cs="Arial" w:eastAsia="Arial" w:hAnsi="Arial"/>
          <w:sz w:val="18"/>
          <w:szCs w:val="18"/>
          <w:color w:val="auto"/>
        </w:rPr>
      </w:pPr>
    </w:p>
    <w:p>
      <w:pPr>
        <w:ind w:right="80" w:firstLine="656"/>
        <w:spacing w:after="0" w:line="255" w:lineRule="auto"/>
        <w:tabs>
          <w:tab w:leader="none" w:pos="10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8" w:name="page89"/>
    <w:bookmarkEnd w:id="88"/>
    <w:p>
      <w:pPr>
        <w:spacing w:after="0"/>
        <w:tabs>
          <w:tab w:leader="none" w:pos="102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Unless this Section 8.3 is otherwise specified, pursuant to Section 2.2.20,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57" w:lineRule="exact"/>
        <w:rPr>
          <w:sz w:val="20"/>
          <w:szCs w:val="20"/>
          <w:color w:val="auto"/>
        </w:rPr>
      </w:pPr>
    </w:p>
    <w:p>
      <w:pPr>
        <w:ind w:right="320" w:firstLine="656"/>
        <w:spacing w:after="0" w:line="279" w:lineRule="auto"/>
        <w:tabs>
          <w:tab w:leader="none" w:pos="107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1" w:lineRule="exact"/>
        <w:rPr>
          <w:rFonts w:ascii="Arial" w:cs="Arial" w:eastAsia="Arial" w:hAnsi="Arial"/>
          <w:sz w:val="17"/>
          <w:szCs w:val="17"/>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provisions of Sections 2.4, 2.7, 2.8, 8.2, 8.3 and 8.5; and</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ind w:firstLine="656"/>
        <w:spacing w:after="0" w:line="272" w:lineRule="auto"/>
        <w:tabs>
          <w:tab w:leader="none" w:pos="1083"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4" w:lineRule="exact"/>
        <w:rPr>
          <w:sz w:val="20"/>
          <w:szCs w:val="20"/>
          <w:color w:val="auto"/>
        </w:rPr>
      </w:pPr>
    </w:p>
    <w:p>
      <w:pPr>
        <w:ind w:right="200" w:firstLine="656"/>
        <w:spacing w:after="0" w:line="277" w:lineRule="auto"/>
        <w:tabs>
          <w:tab w:leader="none" w:pos="10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40" w:firstLine="656"/>
        <w:spacing w:after="0" w:line="277" w:lineRule="auto"/>
        <w:tabs>
          <w:tab w:leader="none" w:pos="10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ind w:right="40" w:firstLine="656"/>
        <w:spacing w:after="0" w:line="255" w:lineRule="auto"/>
        <w:tabs>
          <w:tab w:leader="none" w:pos="10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9" w:name="page90"/>
    <w:bookmarkEnd w:id="89"/>
    <w:p>
      <w:pPr>
        <w:ind w:right="60" w:firstLine="656"/>
        <w:spacing w:after="0" w:line="263" w:lineRule="auto"/>
        <w:tabs>
          <w:tab w:leader="none" w:pos="10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3" w:lineRule="exact"/>
        <w:rPr>
          <w:rFonts w:ascii="Arial" w:cs="Arial" w:eastAsia="Arial" w:hAnsi="Arial"/>
          <w:sz w:val="18"/>
          <w:szCs w:val="18"/>
          <w:color w:val="auto"/>
        </w:rPr>
      </w:pPr>
    </w:p>
    <w:p>
      <w:pPr>
        <w:ind w:right="380" w:firstLine="656"/>
        <w:spacing w:after="0" w:line="277" w:lineRule="auto"/>
        <w:tabs>
          <w:tab w:leader="none" w:pos="10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Unless this Section 8.4 is otherwise specified pursuant to Section 2.2.20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2.2.20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177" w:lineRule="exact"/>
        <w:rPr>
          <w:sz w:val="20"/>
          <w:szCs w:val="20"/>
          <w:color w:val="auto"/>
        </w:rPr>
      </w:pPr>
    </w:p>
    <w:p>
      <w:pPr>
        <w:ind w:right="160" w:firstLine="656"/>
        <w:spacing w:after="0" w:line="289" w:lineRule="auto"/>
        <w:tabs>
          <w:tab w:leader="none" w:pos="1073" w:val="left"/>
        </w:tabs>
        <w:numPr>
          <w:ilvl w:val="0"/>
          <w:numId w:val="75"/>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66" w:lineRule="exact"/>
        <w:rPr>
          <w:rFonts w:ascii="Arial" w:cs="Arial" w:eastAsia="Arial" w:hAnsi="Arial"/>
          <w:sz w:val="16"/>
          <w:szCs w:val="16"/>
          <w:color w:val="auto"/>
        </w:rPr>
      </w:pPr>
    </w:p>
    <w:p>
      <w:pPr>
        <w:ind w:right="160" w:firstLine="656"/>
        <w:spacing w:after="0" w:line="277" w:lineRule="auto"/>
        <w:tabs>
          <w:tab w:leader="none" w:pos="1083"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deposit;</w:t>
      </w:r>
    </w:p>
    <w:p>
      <w:pPr>
        <w:spacing w:after="0" w:line="210" w:lineRule="exact"/>
        <w:rPr>
          <w:rFonts w:ascii="Arial" w:cs="Arial" w:eastAsia="Arial" w:hAnsi="Arial"/>
          <w:sz w:val="17"/>
          <w:szCs w:val="17"/>
          <w:color w:val="auto"/>
        </w:rPr>
      </w:pPr>
    </w:p>
    <w:p>
      <w:pPr>
        <w:ind w:firstLine="656"/>
        <w:spacing w:after="0" w:line="311" w:lineRule="auto"/>
        <w:tabs>
          <w:tab w:leader="none" w:pos="108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0" w:name="page91"/>
    <w:bookmarkEnd w:id="90"/>
    <w:p>
      <w:pPr>
        <w:ind w:firstLine="656"/>
        <w:spacing w:after="0" w:line="263" w:lineRule="auto"/>
        <w:tabs>
          <w:tab w:leader="none" w:pos="10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3" w:lineRule="exact"/>
        <w:rPr>
          <w:rFonts w:ascii="Arial" w:cs="Arial" w:eastAsia="Arial" w:hAnsi="Arial"/>
          <w:sz w:val="18"/>
          <w:szCs w:val="18"/>
          <w:color w:val="auto"/>
        </w:rPr>
      </w:pPr>
    </w:p>
    <w:p>
      <w:pPr>
        <w:ind w:right="660" w:firstLine="656"/>
        <w:spacing w:after="0" w:line="308" w:lineRule="auto"/>
        <w:tabs>
          <w:tab w:leader="none" w:pos="1053"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Trustee and the Paying Agent shall pay to the Company upon written request any money held by them for the payment of principal and interest that remains unclaimed for two years. After that, Security Holders entitled to the money must look to the Company for payment as general creditors unless an applicable abandoned property law designates another person.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 AMENDMENTS AND WAIVERS</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 Security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 Holder;</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248" w:lineRule="exact"/>
        <w:rPr>
          <w:rFonts w:ascii="Arial" w:cs="Arial" w:eastAsia="Arial" w:hAnsi="Arial"/>
          <w:sz w:val="16"/>
          <w:szCs w:val="16"/>
          <w:color w:val="auto"/>
        </w:rPr>
      </w:pPr>
    </w:p>
    <w:p>
      <w:pPr>
        <w:ind w:right="280" w:firstLine="656"/>
        <w:spacing w:after="0" w:line="263" w:lineRule="auto"/>
        <w:tabs>
          <w:tab w:leader="none" w:pos="10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With Consent of Holders.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1" w:name="page92"/>
    <w:bookmarkEnd w:id="91"/>
    <w:p>
      <w:pPr>
        <w:ind w:right="80" w:firstLine="648"/>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the consent of each Security Holder affected, an amendment or waiver may not:</w:t>
      </w:r>
    </w:p>
    <w:p>
      <w:pPr>
        <w:spacing w:after="0" w:line="225"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240" w:firstLine="656"/>
        <w:spacing w:after="0" w:line="277" w:lineRule="auto"/>
        <w:tabs>
          <w:tab w:leader="none" w:pos="1073"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right="60" w:firstLine="656"/>
        <w:spacing w:after="0" w:line="263" w:lineRule="auto"/>
        <w:tabs>
          <w:tab w:leader="none" w:pos="1073"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1060" w:hanging="40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Compliance with Trust Indenture Act.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2" w:name="page93"/>
    <w:bookmarkEnd w:id="92"/>
    <w:p>
      <w:pPr>
        <w:ind w:firstLine="648"/>
        <w:spacing w:after="0" w:line="311" w:lineRule="auto"/>
        <w:rPr>
          <w:sz w:val="20"/>
          <w:szCs w:val="20"/>
          <w:color w:val="auto"/>
        </w:rPr>
      </w:pPr>
      <w:r>
        <w:rPr>
          <w:rFonts w:ascii="Arial" w:cs="Arial" w:eastAsia="Arial" w:hAnsi="Arial"/>
          <w:sz w:val="16"/>
          <w:szCs w:val="16"/>
          <w:color w:val="auto"/>
        </w:rPr>
        <w:t>Any amendment or waiver once effective shall bind every Security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in the English language, referencing this Indenture and the applicable securities or series of securities, and delivered in person or mailed by first-class mail, or by facsimile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Vitaminveien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0484 Oslo, Norway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 2369-2400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180"/>
          </w:cols>
          <w:pgMar w:left="320" w:top="584" w:right="399" w:bottom="1440" w:gutter="0" w:footer="0" w:header="0"/>
        </w:sectPr>
      </w:pP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Fax No: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340" w:space="460"/>
            <w:col w:w="9380"/>
          </w:cols>
          <w:pgMar w:left="320" w:top="584" w:right="39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00" w:space="440"/>
            <w:col w:w="9240"/>
          </w:cols>
          <w:pgMar w:left="320" w:top="584" w:right="399" w:bottom="1440" w:gutter="0" w:footer="0" w:header="0"/>
          <w:type w:val="continuous"/>
        </w:sectPr>
      </w:pP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type w:val="continuous"/>
        </w:sectPr>
      </w:pPr>
    </w:p>
    <w:bookmarkStart w:id="93" w:name="page94"/>
    <w:bookmarkEnd w:id="93"/>
    <w:p>
      <w:pPr>
        <w:ind w:left="66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24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65"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 Holder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Company mails a notice or communication to Security Holders, it shall mail a copy to the Trustee and each Agent at the same time.</w:t>
      </w: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firstLine="656"/>
        <w:spacing w:after="0" w:line="277" w:lineRule="auto"/>
        <w:tabs>
          <w:tab w:leader="none" w:pos="10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Statements Required in Certificate or Opinion.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360" w:firstLine="656"/>
        <w:spacing w:after="0" w:line="277" w:lineRule="auto"/>
        <w:tabs>
          <w:tab w:leader="none" w:pos="108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280" w:firstLine="656"/>
        <w:spacing w:after="0" w:line="277" w:lineRule="auto"/>
        <w:tabs>
          <w:tab w:leader="none" w:pos="107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5"/>
          <w:szCs w:val="15"/>
          <w:u w:val="single" w:color="auto"/>
          <w:color w:val="auto"/>
        </w:rPr>
        <w:t>Rules by Trustee and Agents.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 Holders of one or more Series. Any Agent may make reasonable rules and set reasonable requirements for its functions.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spacing w:after="0"/>
        <w:tabs>
          <w:tab w:leader="none" w:pos="11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Counterparts.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Laws.</w:t>
      </w:r>
    </w:p>
    <w:p>
      <w:pPr>
        <w:spacing w:after="0" w:line="221"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5" w:name="page96"/>
    <w:bookmarkEnd w:id="95"/>
    <w:p>
      <w:pPr>
        <w:spacing w:after="0"/>
        <w:tabs>
          <w:tab w:leader="none" w:pos="120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Securities in a Foreign Currency or in ECU.</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Judgment Currency.</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31203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940"/>
        <w:spacing w:after="0"/>
        <w:tabs>
          <w:tab w:leader="none" w:pos="5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14605</wp:posOffset>
            </wp:positionV>
            <wp:extent cx="31203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[Signature Page to Indenture]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660"/>
          </w:cols>
          <w:pgMar w:left="980" w:top="584" w:right="12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Our ref</w:t>
      </w:r>
      <w:r>
        <w:rPr>
          <w:sz w:val="20"/>
          <w:szCs w:val="20"/>
          <w:color w:val="auto"/>
        </w:rPr>
        <w:tab/>
      </w:r>
      <w:r>
        <w:rPr>
          <w:rFonts w:ascii="Arial" w:cs="Arial" w:eastAsia="Arial" w:hAnsi="Arial"/>
          <w:sz w:val="16"/>
          <w:szCs w:val="16"/>
          <w:color w:val="auto"/>
        </w:rPr>
        <w:t>ELR/741197-000001/26835497v2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Vitaminveien 4, 0484 Oslo, Norway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14 July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acted as Cayman Islands legal advisers to Opera Limited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under the U.S. Securities Act of 1933, as amended to date relating to the offering as amended to date relating to securities to be issued and sold by the Company and the selling securityholders from time to time. Such securities include:</w:t>
      </w:r>
    </w:p>
    <w:p>
      <w:pPr>
        <w:spacing w:after="0" w:line="180" w:lineRule="exact"/>
        <w:rPr>
          <w:sz w:val="20"/>
          <w:szCs w:val="20"/>
          <w:color w:val="auto"/>
        </w:rPr>
      </w:pPr>
    </w:p>
    <w:p>
      <w:pPr>
        <w:ind w:left="780" w:hanging="322"/>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of the Company's ordinary shares of par value US$0.0001 each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0" w:hanging="322"/>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(each representing two Shares);</w:t>
      </w:r>
    </w:p>
    <w:p>
      <w:pPr>
        <w:spacing w:after="0" w:line="225" w:lineRule="exact"/>
        <w:rPr>
          <w:sz w:val="20"/>
          <w:szCs w:val="20"/>
          <w:color w:val="auto"/>
        </w:rPr>
      </w:pPr>
    </w:p>
    <w:p>
      <w:pPr>
        <w:ind w:left="780" w:hanging="322"/>
        <w:spacing w:after="0"/>
        <w:tabs>
          <w:tab w:leader="none" w:pos="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certain preferred shares of the Company (the "</w:t>
      </w:r>
      <w:r>
        <w:rPr>
          <w:rFonts w:ascii="Arial" w:cs="Arial" w:eastAsia="Arial" w:hAnsi="Arial"/>
          <w:sz w:val="18"/>
          <w:szCs w:val="18"/>
          <w:b w:val="1"/>
          <w:bCs w:val="1"/>
          <w:color w:val="auto"/>
        </w:rPr>
        <w:t>Preferred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0" w:hanging="322"/>
        <w:spacing w:after="0" w:line="282" w:lineRule="auto"/>
        <w:tabs>
          <w:tab w:leader="none" w:pos="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one or more series of debt securities of the Company (the "</w:t>
      </w:r>
      <w:r>
        <w:rPr>
          <w:rFonts w:ascii="Arial" w:cs="Arial" w:eastAsia="Arial" w:hAnsi="Arial"/>
          <w:sz w:val="18"/>
          <w:szCs w:val="18"/>
          <w:b w:val="1"/>
          <w:bCs w:val="1"/>
          <w:color w:val="auto"/>
        </w:rPr>
        <w:t>Debt Securities</w:t>
      </w:r>
      <w:r>
        <w:rPr>
          <w:rFonts w:ascii="Arial" w:cs="Arial" w:eastAsia="Arial" w:hAnsi="Arial"/>
          <w:sz w:val="18"/>
          <w:szCs w:val="18"/>
          <w:color w:val="auto"/>
        </w:rPr>
        <w:t>"), and the Debt Securities are to be issued under an indenture to be entered into between the Company and the trustee named therein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warrants to subscribe for Shares, ADSs, Preferred Shares or Debt Securities in the Company (the "</w:t>
      </w:r>
      <w:r>
        <w:rPr>
          <w:rFonts w:ascii="Arial" w:cs="Arial" w:eastAsia="Arial" w:hAnsi="Arial"/>
          <w:sz w:val="16"/>
          <w:szCs w:val="16"/>
          <w:b w:val="1"/>
          <w:bCs w:val="1"/>
          <w:color w:val="auto"/>
        </w:rPr>
        <w:t>Warrants</w:t>
      </w:r>
      <w:r>
        <w:rPr>
          <w:rFonts w:ascii="Arial" w:cs="Arial" w:eastAsia="Arial" w:hAnsi="Arial"/>
          <w:sz w:val="16"/>
          <w:szCs w:val="16"/>
          <w:color w:val="auto"/>
        </w:rPr>
        <w:t>") to be issued under warrant agreements to be entered into between the Company and the warrant agent for such Warrants thereunder (the "</w:t>
      </w:r>
      <w:r>
        <w:rPr>
          <w:rFonts w:ascii="Arial" w:cs="Arial" w:eastAsia="Arial" w:hAnsi="Arial"/>
          <w:sz w:val="16"/>
          <w:szCs w:val="16"/>
          <w:b w:val="1"/>
          <w:bCs w:val="1"/>
          <w:color w:val="auto"/>
        </w:rPr>
        <w:t>Warrant Agreements</w:t>
      </w:r>
      <w:r>
        <w:rPr>
          <w:rFonts w:ascii="Arial" w:cs="Arial" w:eastAsia="Arial" w:hAnsi="Arial"/>
          <w:sz w:val="16"/>
          <w:szCs w:val="16"/>
          <w:color w:val="auto"/>
        </w:rPr>
        <w:t>"); and</w:t>
      </w:r>
    </w:p>
    <w:p>
      <w:pPr>
        <w:spacing w:after="0" w:line="119" w:lineRule="exact"/>
        <w:rPr>
          <w:rFonts w:ascii="Arial" w:cs="Arial" w:eastAsia="Arial" w:hAnsi="Arial"/>
          <w:sz w:val="16"/>
          <w:szCs w:val="16"/>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Shares or equivalent ADSs offered by selling securityholders.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Exhibits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 of the Company dated 19 March 2018.</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second amended and restated memorandum and articles of association of the Company as conditionally adopted by a special resolution passed on 13 July 2018 and effective immediately prior to the completion of the Company’s initial public offering of the Shares (the "</w:t>
      </w:r>
      <w:r>
        <w:rPr>
          <w:rFonts w:ascii="Arial" w:cs="Arial" w:eastAsia="Arial" w:hAnsi="Arial"/>
          <w:sz w:val="18"/>
          <w:szCs w:val="18"/>
          <w:b w:val="1"/>
          <w:bCs w:val="1"/>
          <w:color w:val="auto"/>
        </w:rPr>
        <w:t>Memorandum and</w:t>
      </w:r>
      <w:r>
        <w:rPr>
          <w:rFonts w:ascii="Arial" w:cs="Arial" w:eastAsia="Arial" w:hAnsi="Arial"/>
          <w:sz w:val="18"/>
          <w:szCs w:val="18"/>
          <w:color w:val="auto"/>
        </w:rPr>
        <w:t xml:space="preserv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written resolutions of the board of directors of the Company dated 14 July 2023 (the "</w:t>
      </w:r>
      <w:r>
        <w:rPr>
          <w:rFonts w:ascii="Arial" w:cs="Arial" w:eastAsia="Arial" w:hAnsi="Arial"/>
          <w:sz w:val="16"/>
          <w:szCs w:val="16"/>
          <w:b w:val="1"/>
          <w:bCs w:val="1"/>
          <w:color w:val="auto"/>
        </w:rPr>
        <w:t>Resolutions</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certificate from a director of the Company, a copy of which is attached hereto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A certificate of good standing dated 7 July 2023,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of the Director's Certificate and the Certificate of Good Standing. We have also relied upon the following assumptions, which we have not independently verified:</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Copies of documents, conformed copies or drafts of documents provided to us are true and complete copies of, or in the final forms of, the originals.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All signatures, initials and seals are genuine.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Registration Statement and a duly authorised, executed and delivered Warrant Agreement or Indenture.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Company will have sufficient authorised capital to effect the issue of the Shares or Preferred Shares at the time of issuance.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Warrant Agreements and the Warrants, and the Debt Securities and the Indenture, will be, legal, valid, binding and enforceable against all relevant parties in accordance with their terms under the laws of the State of New York and all other relevant laws (other than, with respect to the Company, the laws of the Cayman Islands).</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choice of the laws of the State of New York as the governing law of the Warrant Agreements and the Warrants, the Debt Securities and the Indenture,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Warrant Agreements and the Warrants, and the Debt Securities and the Indenture.</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No monies paid to or for the account of the Company in respect of the Shares, the Preferred Shares, the Warrants, the Debt Securities or will represent proceeds of criminal conduct or criminal property or terrorist property (as defined in the Proceeds of Crime Act (As Revised) and the Terrorism Act (As Revised) respectively).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0" w:name="page101"/>
    <w:bookmarkEnd w:id="100"/>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221"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authorised share capital of the Company is US$50,000 divided into 500,000,000 ordinary shares of a par value of US$0.0001 each.</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issue and allotment of the Shares and Preferred Shares have been duly authorised and when allotted, issued and paid for as contemplated in the Registration Statement, the Shares and Preferred Shares will be legally issued and allotted, fully paid and non-assessable. As a matter of Cayman Islands law, a share is only issued when it has been entered in the register of members (shareholders).</w:t>
      </w:r>
    </w:p>
    <w:p>
      <w:pPr>
        <w:spacing w:after="0" w:line="16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With respect to each issue of Warrants, the Board has taken all necessary corporate action to approve the creation and terms of the Warrants and to approve the issue thereof, the terms of the offering thereof and related matters; a Warrant Agreement relating to the Warrants have been duly authorised and validly executed and delivered by the Company and the warrant agent thereunder; and the certificates representing the Warrants have been duly executed, countersigned, registered and delivered in accordance with the Warrant Agreement relating to the Warrants and the applicable definitive purchase, underwriting or similar agreement approved by the Board upon payment of the consideration therefor provided therein, the Warrants will be duly authorised, legal and binding obligations of the Company.</w:t>
      </w:r>
    </w:p>
    <w:p>
      <w:pPr>
        <w:spacing w:after="0" w:line="17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With respect to the Debt Securities, the Board has taken all necessary corporate action to approve the execution, issuance, delivery and performance of the Debt Securities thereof, the terms of the offering thereof and related matters, and when the Debt Securities have been authenticated in the manner set forth in the Indenture relating to such issue of Debt Securities, the Debt Securities will be duly executed, issued and delivered on behalf of the Company and constitute the legal, valid and binding obligations of the Company enforceable in accordance with their terms.</w:t>
      </w:r>
    </w:p>
    <w:p>
      <w:pPr>
        <w:spacing w:after="0" w:line="184"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ind w:left="660" w:right="68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To maintain the Company in good standing under the laws of the Cayman Islands, annual filing fees must be paid and returns made to the Registrar of Companies within the time frame prescribed by law.</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obligations assumed by the Company under the Warrant Agreements, and the Indenture will not necessarily be enforceable in all circumstances in accordance with their terms. In particular: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1" w:name="page102"/>
    <w:bookmarkEnd w:id="101"/>
    <w:p>
      <w:pPr>
        <w:ind w:left="644"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enforcement may be limited by general principles of equity. For example, equitable remedies such as specific performance may not be available, </w:t>
      </w:r>
      <w:r>
        <w:rPr>
          <w:rFonts w:ascii="Arial" w:cs="Arial" w:eastAsia="Arial" w:hAnsi="Arial"/>
          <w:sz w:val="18"/>
          <w:szCs w:val="18"/>
          <w:i w:val="1"/>
          <w:iCs w:val="1"/>
          <w:color w:val="auto"/>
        </w:rPr>
        <w:t>inter alia</w:t>
      </w:r>
      <w:r>
        <w:rPr>
          <w:rFonts w:ascii="Arial" w:cs="Arial" w:eastAsia="Arial" w:hAnsi="Arial"/>
          <w:sz w:val="18"/>
          <w:szCs w:val="18"/>
          <w:color w:val="auto"/>
        </w:rPr>
        <w:t>, where damages are considered to be an adequate remedy;</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some claims may become barred under relevant statutes of limitation or may be or become subject to defences of set off, counterclaim, estoppel and similar defences;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70" w:lineRule="exact"/>
        <w:rPr>
          <w:rFonts w:ascii="Arial" w:cs="Arial" w:eastAsia="Arial" w:hAnsi="Arial"/>
          <w:sz w:val="18"/>
          <w:szCs w:val="18"/>
          <w:color w:val="auto"/>
        </w:rPr>
      </w:pPr>
    </w:p>
    <w:p>
      <w:pPr>
        <w:jc w:val="both"/>
        <w:ind w:left="644" w:hanging="644"/>
        <w:spacing w:after="0" w:line="275" w:lineRule="auto"/>
        <w:tabs>
          <w:tab w:leader="none" w:pos="644"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176" w:lineRule="exact"/>
        <w:rPr>
          <w:rFonts w:ascii="Arial" w:cs="Arial" w:eastAsia="Arial" w:hAnsi="Arial"/>
          <w:sz w:val="17"/>
          <w:szCs w:val="17"/>
          <w:color w:val="auto"/>
        </w:rPr>
      </w:pPr>
    </w:p>
    <w:p>
      <w:pPr>
        <w:ind w:left="644" w:hanging="644"/>
        <w:spacing w:after="0"/>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arrangements that constitute penalties will not be enforceable;</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enforcement may be prevented by reason of fraud, coercion, duress, undue influence, misrepresentation, public policy or mistake or limited by the doctrine of frustration of contracts;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provisions imposing confidentiality obligations may be overridden by compulsion of applicable law or the requirements of legal and/or regulatory process;</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courts of the Cayman Islands may decline to exercise jurisdiction in relation to substantive proceedings brought under or in relation to the Warrant Agreements, and the Indenture in matters where they determine that such proceedings may be tried in a more appropriate forum;</w:t>
      </w:r>
    </w:p>
    <w:p>
      <w:pPr>
        <w:spacing w:after="0" w:line="183"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reserve our opinion as to the enforceability of the relevant provisions of the Warrant Agreements, and the Indenture to the extent that they purport to grant exclusive jurisdiction as there may be circumstances in which the courts of the Cayman Islands would accept jurisdiction notwithstanding such provisions;</w:t>
      </w:r>
    </w:p>
    <w:p>
      <w:pPr>
        <w:spacing w:after="0" w:line="183"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company cannot, by agreement or in its articles of association, restrict the exercise of a statutory power and there is doubt as to the enforceability of any provision in the Warrant Agreements, and the Indenture whereby the Company covenants to restrict the exercise of powers specifically given to it under the Companies Act (As Revised) (the "</w:t>
      </w:r>
      <w:r>
        <w:rPr>
          <w:rFonts w:ascii="Arial" w:cs="Arial" w:eastAsia="Arial" w:hAnsi="Arial"/>
          <w:sz w:val="18"/>
          <w:szCs w:val="18"/>
          <w:b w:val="1"/>
          <w:bCs w:val="1"/>
          <w:color w:val="auto"/>
        </w:rPr>
        <w:t>Companies Act</w:t>
      </w:r>
      <w:r>
        <w:rPr>
          <w:rFonts w:ascii="Arial" w:cs="Arial" w:eastAsia="Arial" w:hAnsi="Arial"/>
          <w:sz w:val="18"/>
          <w:szCs w:val="18"/>
          <w:color w:val="auto"/>
        </w:rPr>
        <w:t>"), including, without limitation, the power to increase its authorised share capital, amend its memorandum and articles of association or present a petition to a Cayman Islands court for an order to wind up the Company; and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102" w:name="page103"/>
    <w:bookmarkEnd w:id="102"/>
    <w:p>
      <w:pPr>
        <w:jc w:val="both"/>
        <w:ind w:left="1300" w:hanging="644"/>
        <w:spacing w:after="0" w:line="259"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Company becomes subject to Part XVIIA of the Companies Act, enforcement or performance of any provision in the Warrant Agreements, and the Indenture which relates, directly or indirectly, to an interest in the Company constituting shares, voting rights or director appointment rights in the Company may be prohibited or restricted if any such relevant interest is or becomes subject to a restrictions notice issued under the Companies Act.</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We express no opinion as to the meaning, validity or effect of any references to foreign (i.e. non-Cayman Islands) statutes, rules, regulations, codes, judicial authority or any other promulgations and any references to them in the Warrant Agreements or the Warrants, the Debt Securities or the Indenture.</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We have not reviewed any of the Warrant Agreements or the Warrants to be issued thereunder, the Indenture or the Debt Securities to be issued thereunder and our opinions are qualified accordingly.</w:t>
      </w:r>
    </w:p>
    <w:p>
      <w:pPr>
        <w:spacing w:after="0" w:line="170"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We reserve our opinion as to the extent to which the courts of the Cayman Islands would, in the event of any relevant illegality or invalidity, sever the relevant provisions of the Warrant Agreements or the Warrants, the Indenture or the Debt Securities and enforce the remainder of the Warrant Agreements or the Warrants, the Indenture or the Debt Securities or the transaction of which such provisions form a part, notwithstanding any express provisions in the Warrant Agreements or the Warrants, the Indenture or the Debt Securities in this regard.</w:t>
      </w:r>
    </w:p>
    <w:p>
      <w:pPr>
        <w:spacing w:after="0" w:line="17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6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In this opinion the phrase "non-assessable" means, with respect to shares in the Company, that a shareholder shall not, solely by virtue of its status as a shareholder and in absence of a contractual arrangement, or an obligation pursuant to the Memorandum and Articles,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Encl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8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702945</wp:posOffset>
            </wp:positionV>
            <wp:extent cx="2314575" cy="557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23145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30/F Alexandra House | 18 Chater Road Central | Hong Kong</w:t>
      </w:r>
    </w:p>
    <w:p>
      <w:pPr>
        <w:spacing w:after="0" w:line="23" w:lineRule="exact"/>
        <w:rPr>
          <w:sz w:val="20"/>
          <w:szCs w:val="20"/>
          <w:color w:val="auto"/>
        </w:rPr>
      </w:pPr>
    </w:p>
    <w:p>
      <w:pPr>
        <w:ind w:left="5024" w:hanging="204"/>
        <w:spacing w:after="0"/>
        <w:tabs>
          <w:tab w:leader="none" w:pos="50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+852.2971.4888</w:t>
      </w:r>
    </w:p>
    <w:p>
      <w:pPr>
        <w:spacing w:after="0" w:line="9" w:lineRule="exact"/>
        <w:rPr>
          <w:rFonts w:ascii="Arial" w:cs="Arial" w:eastAsia="Arial" w:hAnsi="Arial"/>
          <w:sz w:val="18"/>
          <w:szCs w:val="18"/>
          <w:color w:val="auto"/>
        </w:rPr>
      </w:pPr>
    </w:p>
    <w:p>
      <w:pPr>
        <w:jc w:val="both"/>
        <w:ind w:left="5024" w:right="5120" w:firstLine="15"/>
        <w:spacing w:after="0" w:line="605" w:lineRule="auto"/>
        <w:rPr>
          <w:rFonts w:ascii="Arial" w:cs="Arial" w:eastAsia="Arial" w:hAnsi="Arial"/>
          <w:sz w:val="18"/>
          <w:szCs w:val="18"/>
          <w:color w:val="auto"/>
        </w:rPr>
      </w:pPr>
      <w:r>
        <w:rPr>
          <w:rFonts w:ascii="Arial" w:cs="Arial" w:eastAsia="Arial" w:hAnsi="Arial"/>
          <w:sz w:val="16"/>
          <w:szCs w:val="16"/>
          <w:color w:val="auto"/>
        </w:rPr>
        <w:t>milbank.com July 14, 2023</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Vitaminveien 4, 0484 Oslo</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Norway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left="4" w:right="20" w:firstLine="396"/>
        <w:spacing w:after="0" w:line="284" w:lineRule="auto"/>
        <w:rPr>
          <w:sz w:val="20"/>
          <w:szCs w:val="20"/>
          <w:color w:val="auto"/>
        </w:rPr>
      </w:pPr>
      <w:r>
        <w:rPr>
          <w:rFonts w:ascii="Arial" w:cs="Arial" w:eastAsia="Arial" w:hAnsi="Arial"/>
          <w:sz w:val="16"/>
          <w:szCs w:val="16"/>
          <w:color w:val="auto"/>
        </w:rPr>
        <w:t>We have acted as special New York counsel to Opera Limited, an exempted company incorporated in the Cayman Islands with limited liability (the “Company”), in connection with the preparation and filing with the Securities and Exchange Commission (the “Commission”) of the Company’s Registration Statement on Form F-3 (the “Registration Statement”), under the Securities Act of 1933, as amended (the “Securities Act”), relating to (A) the issuance and sale by the Company from time to time of (i) ordinary shares of the Company, par value US$0.0001 per share (the “Shares”), including Shares represented by American Depositary Shares (the “ADSs”), (ii) preferred shares of the Company (the “Preferred Shares”), (iii) debt securities of the Company (the “Debt Securities”) and (iv) warrants to purchase Shares, ADSs, Preferred Shares or Debt Securities of the Company (the “Warrants”) and</w:t>
      </w:r>
    </w:p>
    <w:p>
      <w:pPr>
        <w:spacing w:after="0" w:line="4" w:lineRule="exact"/>
        <w:rPr>
          <w:sz w:val="20"/>
          <w:szCs w:val="20"/>
          <w:color w:val="auto"/>
        </w:rPr>
      </w:pPr>
    </w:p>
    <w:p>
      <w:pPr>
        <w:ind w:left="4" w:right="120" w:hanging="4"/>
        <w:spacing w:after="0" w:line="253" w:lineRule="auto"/>
        <w:tabs>
          <w:tab w:leader="none" w:pos="2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offer and sale by the selling securityholders named therein (the “Selling Securityholders”) from time to time of the Shares, as set forth in the Registration Statement, the prospectus contained therein (the “Prospectus”) and the supplements to the prospectus referred to therein (each a “Prospectus Supplement”). The Shares, Preferred Shares, Debt Securities and Warrants are herein collectively referred to as the “Securities.” The Securities being registered under the Registration Statement will be offered on a continuous or delayed basis pursuant to the provisions of Rule 415 under the Securities Act.</w:t>
      </w:r>
    </w:p>
    <w:p>
      <w:pPr>
        <w:spacing w:after="0" w:line="191" w:lineRule="exact"/>
        <w:rPr>
          <w:sz w:val="20"/>
          <w:szCs w:val="20"/>
          <w:color w:val="auto"/>
        </w:rPr>
      </w:pPr>
    </w:p>
    <w:p>
      <w:pPr>
        <w:ind w:left="4" w:right="20" w:firstLine="396"/>
        <w:spacing w:after="0" w:line="272" w:lineRule="auto"/>
        <w:rPr>
          <w:sz w:val="20"/>
          <w:szCs w:val="20"/>
          <w:color w:val="auto"/>
        </w:rPr>
      </w:pPr>
      <w:r>
        <w:rPr>
          <w:rFonts w:ascii="Arial" w:cs="Arial" w:eastAsia="Arial" w:hAnsi="Arial"/>
          <w:sz w:val="17"/>
          <w:szCs w:val="17"/>
          <w:color w:val="auto"/>
        </w:rPr>
        <w:t>The Securities are to be sold from time to time as set forth in the Registration Statement, the Prospectus contained therein and the Prospectus Supplements. The Securities are to be sold pursuant to a purchase, underwriting or similar agreement in substantially the form to be filed as an exhibit to a Form 6-K, which will be incorporated by reference into the Registration Statement and form part thereof from the date on which such Form 6-K is furnished. The Debt Securities are to be issued pursuant to a debt securities indenture (the “Indenture”), a form of which has been filed as an exhibit to the Registration Statement and is to be entered into between the Company and a trustee to be named in a Prospectus Supplement (the “Trustee”). The Indenture may be supplemented in connection with the issuance of each such series of Debt Securities, by a supplemental indenture (the “Supplemental Indenture”) or other appropriate action of the Company creating such series of Debt Securities.</w:t>
      </w:r>
    </w:p>
    <w:p>
      <w:pPr>
        <w:spacing w:after="0" w:line="177" w:lineRule="exact"/>
        <w:rPr>
          <w:sz w:val="20"/>
          <w:szCs w:val="20"/>
          <w:color w:val="auto"/>
        </w:rPr>
      </w:pPr>
    </w:p>
    <w:p>
      <w:pPr>
        <w:ind w:left="4" w:right="60" w:firstLine="396"/>
        <w:spacing w:after="0" w:line="259" w:lineRule="auto"/>
        <w:rPr>
          <w:sz w:val="20"/>
          <w:szCs w:val="20"/>
          <w:color w:val="auto"/>
        </w:rPr>
      </w:pPr>
      <w:r>
        <w:rPr>
          <w:rFonts w:ascii="Arial" w:cs="Arial" w:eastAsia="Arial" w:hAnsi="Arial"/>
          <w:sz w:val="18"/>
          <w:szCs w:val="18"/>
          <w:color w:val="auto"/>
        </w:rPr>
        <w:t>In so acting, we have examined originals or copies (certified or otherwise identified to our satisfaction) of (i) the Registration Statement and the documents incorporated by reference therein, (ii) the prospectus contained within the Registration Statement; (iii) the form of the Indenture, and (vi) such other documents, corporate records and instruments, and have examined such laws and regulations as we have deemed necessary for purposes of rendering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350520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121" w:right="339" w:bottom="1440" w:gutter="0" w:footer="0" w:header="0"/>
        </w:sectPr>
      </w:pPr>
    </w:p>
    <w:bookmarkStart w:id="104" w:name="page105"/>
    <w:bookmarkEnd w:id="104"/>
    <w:p>
      <w:pPr>
        <w:jc w:val="both"/>
        <w:ind w:firstLine="396"/>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171" w:lineRule="exact"/>
        <w:rPr>
          <w:sz w:val="20"/>
          <w:szCs w:val="20"/>
          <w:color w:val="auto"/>
        </w:rPr>
      </w:pPr>
    </w:p>
    <w:p>
      <w:pPr>
        <w:ind w:right="100" w:firstLine="396"/>
        <w:spacing w:after="0" w:line="257" w:lineRule="auto"/>
        <w:rPr>
          <w:sz w:val="20"/>
          <w:szCs w:val="20"/>
          <w:color w:val="auto"/>
        </w:rPr>
      </w:pPr>
      <w:r>
        <w:rPr>
          <w:rFonts w:ascii="Arial" w:cs="Arial" w:eastAsia="Arial" w:hAnsi="Arial"/>
          <w:sz w:val="18"/>
          <w:szCs w:val="18"/>
          <w:color w:val="auto"/>
        </w:rPr>
        <w:t>We have assumed further that, at the time of execution, issuance and delivery of the applicable Shares, Preferred Shares, Debt Securities, Warrants and any agreements entered into in connection with the issuance and delivery of the foregoing Securities (the “Securities Documents”), each party to the Securities Documents (1) will be validly existing under the law of the jurisdiction in which it was organized; (2) will have the power to enter into the Securities Documents to which it is a party; and (3) will have duly authorized, executed and delivered such Securities Documents to which it is a party in accordance with the law of the jurisdiction in which it was organized.</w:t>
      </w:r>
    </w:p>
    <w:p>
      <w:pPr>
        <w:spacing w:after="0" w:line="188" w:lineRule="exact"/>
        <w:rPr>
          <w:sz w:val="20"/>
          <w:szCs w:val="20"/>
          <w:color w:val="auto"/>
        </w:rPr>
      </w:pPr>
    </w:p>
    <w:p>
      <w:pPr>
        <w:ind w:right="60" w:firstLine="396"/>
        <w:spacing w:after="0" w:line="286" w:lineRule="auto"/>
        <w:rPr>
          <w:sz w:val="20"/>
          <w:szCs w:val="20"/>
          <w:color w:val="auto"/>
        </w:rPr>
      </w:pPr>
      <w:r>
        <w:rPr>
          <w:rFonts w:ascii="Arial" w:cs="Arial" w:eastAsia="Arial" w:hAnsi="Arial"/>
          <w:sz w:val="16"/>
          <w:szCs w:val="16"/>
          <w:color w:val="auto"/>
        </w:rPr>
        <w:t>Based on and subject to the foregoing and assuming that (i) the Registration Statement and any amendments thereto (including any post-effective amendments) will have become effective and comply with all applicable laws and no stop order suspending the Registration Statement’s effectiveness will have been issued and remain in effect, in each case, at the time the Securities are offered or issued as contemplated by the Registration Statement, (ii) a Prospectus Supplement will have been prepared and filed with the Commission describing the Securities offered thereby and will at all relevant times comply with all applicable laws, (iii) the Company has timely filed all necessary reports pursuant to the Securities Exchange Act of 1934, as amended, which are incorporated into the Registration Statement by reference, (iv) all Securities will be issued and sold in compliance with applicable federal and state securities laws and in the manner stated in the Registration Statement and the appropriate Prospectus Supplement, (v) a definitive purchase, underwriting or similar agreement and any other necessary agreement, instrument or document with respect to any Securities will have been duly authorized and validly executed and delivered by the Company and the other party or parties thereto, (vi) any Securities issuable upon conversion, exercise or exchange of any Securities being offered or issued will be duly authorized and, if appropriate, reserved for issuance upon such conversion, exercise or exchange, (vii) the terms of such Securities will have been duly established so as not to violate any applicable law or result in a default under or breach of any agreement or instrument binding upon the Company and so as to comply with any requirement or restriction imposed by any court or governmental or regulatory body having jurisdiction over the Company, and (viii) if issued in certificated form, certificates representing the Securities will be duly executed and delivered and, to the extent required by any applicable agreement, duly authenticated and countersigned, and if issued in book-entry form, the Securities will be duly registered to the extent required by any applicable agreement, we advise you that in our opinion:</w:t>
      </w:r>
    </w:p>
    <w:p>
      <w:pPr>
        <w:spacing w:after="0" w:line="167" w:lineRule="exact"/>
        <w:rPr>
          <w:sz w:val="20"/>
          <w:szCs w:val="20"/>
          <w:color w:val="auto"/>
        </w:rPr>
      </w:pPr>
    </w:p>
    <w:p>
      <w:pPr>
        <w:ind w:right="20" w:firstLine="392"/>
        <w:spacing w:after="0" w:line="289" w:lineRule="auto"/>
        <w:tabs>
          <w:tab w:leader="none" w:pos="711"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Assuming that the issuance and terms of any Debt Securities and the terms of any offering thereof by the Company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duly authorized, when (i) the Trustee is qualified to act as Trustee under the Indenture and the Company has filed a Form T-1 for the Trustee with the Commission; (ii) the Indenture has been duly qualified under the Trust Indenture Act of 1939, as amended; (iii) the Indenture and any Supplemental Indenture relating to the Debt Securities have been duly and validly authorized, executed and delivered by all parties thereto substantially in the form filed as an exhibit to the Registration Statement or incorporated by reference therein; (iv) the terms of the Debt Securities to be issued under the applicable indenture and their issuance and sale have been duly established in conformity with such indenture; and (v) the Debt Securities have been duly executed and authenticated in accordance with the applicable indenture and issued and sold in accordance with any underwriting agreement or purchase agreement or as otherwise contemplated in the Registration Statement and any Prospectus Supplement relating thereto, such Debt Securities will constitute valid and binding obligations of the Company, enforceable against the Company in accordance with their terms.</w:t>
      </w:r>
    </w:p>
    <w:p>
      <w:pPr>
        <w:spacing w:after="0" w:line="166" w:lineRule="exact"/>
        <w:rPr>
          <w:rFonts w:ascii="Arial" w:cs="Arial" w:eastAsia="Arial" w:hAnsi="Arial"/>
          <w:sz w:val="16"/>
          <w:szCs w:val="16"/>
          <w:color w:val="auto"/>
        </w:rPr>
      </w:pPr>
    </w:p>
    <w:p>
      <w:pPr>
        <w:ind w:right="280" w:firstLine="392"/>
        <w:spacing w:after="0" w:line="296" w:lineRule="auto"/>
        <w:tabs>
          <w:tab w:leader="none" w:pos="711"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Assuming that the issuance and terms of such Warrants and the terms of any offering thereof by the Company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when (i) the Warrants have been duly authorized, executed and delivered by the Company and the warrant agent has been appointed by the Company, if any; and (ii) such Warrants have been duly executed, authenticated, issued, paid for and delivered in accordance with any underwriting agreement or purchase agreement or as otherwise contemplated in the Registration Statement and any Prospectus Supplement relating thereto, such Warrants will constitute valid and binding obligations of the Company, enforceable against the Company in accordance with their terms.</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75565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584" w:right="339" w:bottom="1440" w:gutter="0" w:footer="0" w:header="0"/>
        </w:sectPr>
      </w:pPr>
    </w:p>
    <w:bookmarkStart w:id="105" w:name="page106"/>
    <w:bookmarkEnd w:id="105"/>
    <w:p>
      <w:pPr>
        <w:ind w:right="20" w:firstLine="396"/>
        <w:spacing w:after="0" w:line="275" w:lineRule="auto"/>
        <w:rPr>
          <w:sz w:val="20"/>
          <w:szCs w:val="20"/>
          <w:color w:val="auto"/>
        </w:rPr>
      </w:pPr>
      <w:r>
        <w:rPr>
          <w:rFonts w:ascii="Arial" w:cs="Arial" w:eastAsia="Arial" w:hAnsi="Arial"/>
          <w:sz w:val="17"/>
          <w:szCs w:val="17"/>
          <w:color w:val="auto"/>
        </w:rPr>
        <w:t>The opinions expressed above with respect to enforceability are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The opinions are also subject to (i) the Registration Statement becoming effective pursuant to applicable law and (ii) the issuance of any legally required consents, approvals, authorizations or orders of the Commission and any other regulatory authority.</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opinions expressed above are limited to the law of the State of New York and the federal securities laws of the United States of America.</w:t>
      </w:r>
    </w:p>
    <w:p>
      <w:pPr>
        <w:spacing w:after="0" w:line="237" w:lineRule="exact"/>
        <w:rPr>
          <w:sz w:val="20"/>
          <w:szCs w:val="20"/>
          <w:color w:val="auto"/>
        </w:rPr>
      </w:pPr>
    </w:p>
    <w:p>
      <w:pPr>
        <w:ind w:firstLine="396"/>
        <w:spacing w:after="0" w:line="257" w:lineRule="auto"/>
        <w:rPr>
          <w:sz w:val="20"/>
          <w:szCs w:val="20"/>
          <w:color w:val="auto"/>
        </w:rPr>
      </w:pPr>
      <w:r>
        <w:rPr>
          <w:rFonts w:ascii="Arial" w:cs="Arial" w:eastAsia="Arial" w:hAnsi="Arial"/>
          <w:sz w:val="18"/>
          <w:szCs w:val="18"/>
          <w:color w:val="auto"/>
        </w:rPr>
        <w:t>We hereby consent to the filing of this letter as an exhibit to the Registration Statement and to the reference to our firm under the caption “Legal Matters” in the prospectus which is a part of the Registration Statement and in any Prospectus Supplement related thereto as counsel for the Company that has passed on the validity of the Securities, and to the use of this opinion as a part (Exhibit 5) of the Registration Statement. In giving this consent, we do not thereby admit that we are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0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Milbank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LT/PP</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440" w:top="58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consent to the use of our report dated April 20, 2023, with respect to the consolidated financial statements of Opera Limited, incorporated herein by reference and to the reference to our firm under the heading “Experts” in the prospectus.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KPMG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Oslo Norway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2023</w:t>
      </w:r>
    </w:p>
    <w:p>
      <w:pPr>
        <w:sectPr>
          <w:pgSz w:w="11900" w:h="16838" w:orient="portrait"/>
          <w:cols w:equalWidth="0" w:num="1">
            <w:col w:w="11240"/>
          </w:cols>
          <w:pgMar w:left="320" w:top="12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23.4</w:t>
            </w:r>
          </w:p>
        </w:tc>
      </w:tr>
      <w:tr>
        <w:trPr>
          <w:trHeight w:val="418"/>
        </w:trPr>
        <w:tc>
          <w:tcPr>
            <w:tcW w:w="5320" w:type="dxa"/>
            <w:vAlign w:val="bottom"/>
          </w:tcPr>
          <w:p>
            <w:pPr>
              <w:spacing w:after="0"/>
              <w:rPr>
                <w:sz w:val="20"/>
                <w:szCs w:val="20"/>
                <w:color w:val="auto"/>
              </w:rPr>
            </w:pPr>
            <w:r>
              <w:rPr>
                <w:rFonts w:ascii="Arial" w:cs="Arial" w:eastAsia="Arial" w:hAnsi="Arial"/>
                <w:sz w:val="18"/>
                <w:szCs w:val="18"/>
                <w:color w:val="auto"/>
              </w:rPr>
              <w:t>Opera Limited</w:t>
            </w:r>
          </w:p>
        </w:tc>
        <w:tc>
          <w:tcPr>
            <w:tcW w:w="5920" w:type="dxa"/>
            <w:vAlign w:val="bottom"/>
          </w:tcPr>
          <w:p>
            <w:pPr>
              <w:jc w:val="right"/>
              <w:spacing w:after="0"/>
              <w:rPr>
                <w:sz w:val="20"/>
                <w:szCs w:val="20"/>
                <w:color w:val="auto"/>
              </w:rPr>
            </w:pPr>
            <w:r>
              <w:rPr>
                <w:rFonts w:ascii="Arial" w:cs="Arial" w:eastAsia="Arial" w:hAnsi="Arial"/>
                <w:sz w:val="18"/>
                <w:szCs w:val="18"/>
                <w:color w:val="auto"/>
              </w:rPr>
              <w:t>Oslo, 14 July 2023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Vitaminveien 4</w:t>
            </w:r>
          </w:p>
        </w:tc>
        <w:tc>
          <w:tcPr>
            <w:tcW w:w="5920" w:type="dxa"/>
            <w:vAlign w:val="bottom"/>
          </w:tcPr>
          <w:p>
            <w:pPr>
              <w:jc w:val="right"/>
              <w:spacing w:after="0"/>
              <w:rPr>
                <w:sz w:val="20"/>
                <w:szCs w:val="20"/>
                <w:color w:val="auto"/>
              </w:rPr>
            </w:pPr>
            <w:r>
              <w:rPr>
                <w:rFonts w:ascii="Arial" w:cs="Arial" w:eastAsia="Arial" w:hAnsi="Arial"/>
                <w:sz w:val="18"/>
                <w:szCs w:val="18"/>
                <w:color w:val="auto"/>
              </w:rPr>
              <w:t>Our ref.: 11009522-101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0483 Oslo</w:t>
            </w:r>
          </w:p>
        </w:tc>
        <w:tc>
          <w:tcPr>
            <w:tcW w:w="592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Norway</w:t>
            </w:r>
          </w:p>
        </w:tc>
        <w:tc>
          <w:tcPr>
            <w:tcW w:w="5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hereby consent to the use of our name under the captions “Enforceability of Civil Liabilities” and “Legal Matters” in the prospectus included in the registration statement on Form F-3, filed by Opera Limited on or about 14 July 2023, with the Securities and Exchange Commission under the Securities Act of 1933, as amended. In giving such consent, we do not hereby admit that we come within the category of persons whose consent is required under Section 7 of the Securities Act of 1933, as amended, or the regulations promulgated thereunder.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WIKBORG REIN ADVOKATFIRMA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WIKBORG REIN ADVOKATFIRMA AS</w:t>
      </w:r>
    </w:p>
    <w:p>
      <w:pPr>
        <w:sectPr>
          <w:pgSz w:w="11900" w:h="16838" w:orient="portrait"/>
          <w:cols w:equalWidth="0" w:num="1">
            <w:col w:w="11240"/>
          </w:cols>
          <w:pgMar w:left="320" w:top="121" w:right="339" w:bottom="1440" w:gutter="0" w:footer="0" w:header="0"/>
        </w:sectPr>
      </w:pPr>
    </w:p>
    <w:bookmarkStart w:id="108" w:name="page109"/>
    <w:bookmarkEnd w:id="108"/>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Filing Fee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Previously</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Fee</w:t>
            </w:r>
          </w:p>
        </w:tc>
        <w:tc>
          <w:tcPr>
            <w:tcW w:w="8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2"/>
                <w:szCs w:val="12"/>
                <w:color w:val="auto"/>
              </w:rPr>
            </w:pP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9"/>
              </w:rPr>
              <w:t>Maximum</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Carry</w:t>
            </w:r>
          </w:p>
        </w:tc>
        <w:tc>
          <w:tcPr>
            <w:tcW w:w="7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Unsold</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Calculation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Amount of</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Security</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Security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 Carry</w:t>
            </w:r>
          </w:p>
        </w:tc>
        <w:tc>
          <w:tcPr>
            <w:tcW w:w="88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Aggregate</w:t>
            </w:r>
          </w:p>
        </w:tc>
        <w:tc>
          <w:tcPr>
            <w:tcW w:w="9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Forward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Initial</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Forward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Registered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 Unit</w:t>
            </w:r>
          </w:p>
        </w:tc>
        <w:tc>
          <w:tcPr>
            <w:tcW w:w="14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Offering</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Fee Rate</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Registration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Form</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File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effective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Carried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Type</w:t>
            </w: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Class Title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Rule</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 xml:space="preserve">Price </w:t>
            </w:r>
            <w:r>
              <w:rPr>
                <w:rFonts w:ascii="Arial" w:cs="Arial" w:eastAsia="Arial" w:hAnsi="Arial"/>
                <w:sz w:val="11"/>
                <w:szCs w:val="11"/>
                <w:b w:val="1"/>
                <w:bCs w:val="1"/>
                <w:color w:val="auto"/>
                <w:w w:val="96"/>
              </w:rPr>
              <w:t>(3)</w:t>
            </w: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Arial" w:cs="Arial" w:eastAsia="Arial" w:hAnsi="Arial"/>
                <w:sz w:val="14"/>
                <w:szCs w:val="14"/>
                <w:b w:val="1"/>
                <w:bCs w:val="1"/>
                <w:color w:val="auto"/>
              </w:rPr>
              <w:t>Fee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940" w:type="dxa"/>
            <w:vAlign w:val="bottom"/>
            <w:gridSpan w:val="4"/>
            <w:shd w:val="clear" w:color="auto" w:fill="CCEEFF"/>
          </w:tcPr>
          <w:p>
            <w:pPr>
              <w:jc w:val="right"/>
              <w:ind w:right="708"/>
              <w:spacing w:after="0" w:line="149" w:lineRule="exact"/>
              <w:rPr>
                <w:sz w:val="20"/>
                <w:szCs w:val="20"/>
                <w:color w:val="auto"/>
              </w:rPr>
            </w:pPr>
            <w:r>
              <w:rPr>
                <w:rFonts w:ascii="Arial" w:cs="Arial" w:eastAsia="Arial" w:hAnsi="Arial"/>
                <w:sz w:val="14"/>
                <w:szCs w:val="14"/>
                <w:b w:val="1"/>
                <w:bCs w:val="1"/>
                <w:color w:val="auto"/>
              </w:rPr>
              <w:t>Newly Registered Securities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line="130" w:lineRule="exact"/>
              <w:rPr>
                <w:sz w:val="20"/>
                <w:szCs w:val="20"/>
                <w:color w:val="auto"/>
              </w:rPr>
            </w:pPr>
            <w:r>
              <w:rPr>
                <w:rFonts w:ascii="Arial" w:cs="Arial" w:eastAsia="Arial" w:hAnsi="Arial"/>
                <w:sz w:val="14"/>
                <w:szCs w:val="14"/>
                <w:color w:val="auto"/>
                <w:w w:val="93"/>
              </w:rPr>
              <w:t>Fees to be paid</w:t>
            </w:r>
          </w:p>
        </w:tc>
        <w:tc>
          <w:tcPr>
            <w:tcW w:w="800" w:type="dxa"/>
            <w:vAlign w:val="bottom"/>
          </w:tcPr>
          <w:p>
            <w:pPr>
              <w:ind w:left="20"/>
              <w:spacing w:after="0" w:line="130" w:lineRule="exact"/>
              <w:rPr>
                <w:sz w:val="20"/>
                <w:szCs w:val="20"/>
                <w:color w:val="auto"/>
              </w:rPr>
            </w:pPr>
            <w:r>
              <w:rPr>
                <w:rFonts w:ascii="Arial" w:cs="Arial" w:eastAsia="Arial" w:hAnsi="Arial"/>
                <w:sz w:val="14"/>
                <w:szCs w:val="14"/>
                <w:color w:val="auto"/>
              </w:rPr>
              <w:t>Equity</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Ordinary</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Shares, par</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value</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$0.0001 per</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rPr>
              <w:t>share</w:t>
            </w:r>
          </w:p>
        </w:tc>
        <w:tc>
          <w:tcPr>
            <w:tcW w:w="800" w:type="dxa"/>
            <w:vAlign w:val="bottom"/>
          </w:tcPr>
          <w:p>
            <w:pPr>
              <w:jc w:val="right"/>
              <w:spacing w:after="0"/>
              <w:rPr>
                <w:sz w:val="20"/>
                <w:szCs w:val="20"/>
                <w:color w:val="auto"/>
              </w:rPr>
            </w:pPr>
            <w:r>
              <w:rPr>
                <w:rFonts w:ascii="Arial" w:cs="Arial" w:eastAsia="Arial" w:hAnsi="Arial"/>
                <w:sz w:val="14"/>
                <w:szCs w:val="14"/>
                <w:color w:val="auto"/>
              </w:rPr>
              <w:t>457(o)</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Fees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previously</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paid</w:t>
            </w: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line="130" w:lineRule="exact"/>
              <w:rPr>
                <w:sz w:val="20"/>
                <w:szCs w:val="20"/>
                <w:color w:val="auto"/>
              </w:rPr>
            </w:pPr>
            <w:r>
              <w:rPr>
                <w:rFonts w:ascii="Arial" w:cs="Arial" w:eastAsia="Arial" w:hAnsi="Arial"/>
                <w:sz w:val="14"/>
                <w:szCs w:val="14"/>
                <w:color w:val="auto"/>
                <w:w w:val="93"/>
              </w:rPr>
              <w:t>Fees to be paid</w:t>
            </w:r>
          </w:p>
        </w:tc>
        <w:tc>
          <w:tcPr>
            <w:tcW w:w="800" w:type="dxa"/>
            <w:vAlign w:val="bottom"/>
          </w:tcPr>
          <w:p>
            <w:pPr>
              <w:ind w:left="20"/>
              <w:spacing w:after="0" w:line="130" w:lineRule="exact"/>
              <w:rPr>
                <w:sz w:val="20"/>
                <w:szCs w:val="20"/>
                <w:color w:val="auto"/>
              </w:rPr>
            </w:pPr>
            <w:r>
              <w:rPr>
                <w:rFonts w:ascii="Arial" w:cs="Arial" w:eastAsia="Arial" w:hAnsi="Arial"/>
                <w:sz w:val="14"/>
                <w:szCs w:val="14"/>
                <w:color w:val="auto"/>
              </w:rPr>
              <w:t>Equity</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Preferred</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color w:val="auto"/>
              </w:rPr>
              <w:t>457(o)</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Fees to be paid</w:t>
            </w:r>
          </w:p>
        </w:tc>
        <w:tc>
          <w:tcPr>
            <w:tcW w:w="8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Debt</w:t>
            </w:r>
          </w:p>
        </w:tc>
        <w:tc>
          <w:tcPr>
            <w:tcW w:w="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Debt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457(o)</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Arial" w:cs="Arial" w:eastAsia="Arial" w:hAnsi="Arial"/>
                <w:sz w:val="14"/>
                <w:szCs w:val="14"/>
                <w:color w:val="auto"/>
                <w:w w:val="93"/>
              </w:rPr>
              <w:t>Fees to be paid</w:t>
            </w:r>
          </w:p>
        </w:tc>
        <w:tc>
          <w:tcPr>
            <w:tcW w:w="800" w:type="dxa"/>
            <w:vAlign w:val="bottom"/>
          </w:tcPr>
          <w:p>
            <w:pPr>
              <w:ind w:left="20"/>
              <w:spacing w:after="0" w:line="149" w:lineRule="exact"/>
              <w:rPr>
                <w:sz w:val="20"/>
                <w:szCs w:val="20"/>
                <w:color w:val="auto"/>
              </w:rPr>
            </w:pPr>
            <w:r>
              <w:rPr>
                <w:rFonts w:ascii="Arial" w:cs="Arial" w:eastAsia="Arial" w:hAnsi="Arial"/>
                <w:sz w:val="14"/>
                <w:szCs w:val="14"/>
                <w:color w:val="auto"/>
              </w:rPr>
              <w:t>Other</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Warrants(5)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457(o)</w:t>
            </w:r>
          </w:p>
        </w:tc>
        <w:tc>
          <w:tcPr>
            <w:tcW w:w="880" w:type="dxa"/>
            <w:vAlign w:val="bottom"/>
          </w:tcPr>
          <w:p>
            <w:pPr>
              <w:jc w:val="right"/>
              <w:ind w:right="9"/>
              <w:spacing w:after="0" w:line="149" w:lineRule="exact"/>
              <w:rPr>
                <w:sz w:val="20"/>
                <w:szCs w:val="20"/>
                <w:color w:val="auto"/>
              </w:rPr>
            </w:pPr>
            <w:r>
              <w:rPr>
                <w:rFonts w:ascii="Arial" w:cs="Arial" w:eastAsia="Arial" w:hAnsi="Arial"/>
                <w:sz w:val="14"/>
                <w:szCs w:val="14"/>
                <w:color w:val="auto"/>
              </w:rPr>
              <w:t>(1)</w:t>
            </w:r>
          </w:p>
        </w:tc>
        <w:tc>
          <w:tcPr>
            <w:tcW w:w="800" w:type="dxa"/>
            <w:vAlign w:val="bottom"/>
          </w:tcPr>
          <w:p>
            <w:pPr>
              <w:jc w:val="right"/>
              <w:ind w:right="9"/>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9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Fees to be paid</w:t>
            </w:r>
          </w:p>
        </w:tc>
        <w:tc>
          <w:tcPr>
            <w:tcW w:w="8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Unallocated</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(Universal)</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Shelf</w:t>
            </w:r>
          </w:p>
        </w:tc>
        <w:tc>
          <w:tcPr>
            <w:tcW w:w="8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457(o)</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300,000,000</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5"/>
              </w:rPr>
              <w:t>$ 0.00011020</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33,060</w:t>
            </w: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line="130" w:lineRule="exact"/>
              <w:rPr>
                <w:sz w:val="20"/>
                <w:szCs w:val="20"/>
                <w:color w:val="auto"/>
              </w:rPr>
            </w:pPr>
            <w:r>
              <w:rPr>
                <w:rFonts w:ascii="Arial" w:cs="Arial" w:eastAsia="Arial" w:hAnsi="Arial"/>
                <w:sz w:val="14"/>
                <w:szCs w:val="14"/>
                <w:color w:val="auto"/>
                <w:w w:val="93"/>
              </w:rPr>
              <w:t>Fees to be paid</w:t>
            </w:r>
          </w:p>
        </w:tc>
        <w:tc>
          <w:tcPr>
            <w:tcW w:w="800" w:type="dxa"/>
            <w:vAlign w:val="bottom"/>
          </w:tcPr>
          <w:p>
            <w:pPr>
              <w:ind w:left="20"/>
              <w:spacing w:after="0" w:line="130" w:lineRule="exact"/>
              <w:rPr>
                <w:sz w:val="20"/>
                <w:szCs w:val="20"/>
                <w:color w:val="auto"/>
              </w:rPr>
            </w:pPr>
            <w:r>
              <w:rPr>
                <w:rFonts w:ascii="Arial" w:cs="Arial" w:eastAsia="Arial" w:hAnsi="Arial"/>
                <w:sz w:val="14"/>
                <w:szCs w:val="14"/>
                <w:color w:val="auto"/>
              </w:rPr>
              <w:t>Equity</w:t>
            </w:r>
          </w:p>
        </w:tc>
        <w:tc>
          <w:tcPr>
            <w:tcW w:w="880" w:type="dxa"/>
            <w:vAlign w:val="bottom"/>
          </w:tcPr>
          <w:p>
            <w:pPr>
              <w:ind w:left="60"/>
              <w:spacing w:after="0" w:line="130" w:lineRule="exact"/>
              <w:rPr>
                <w:sz w:val="20"/>
                <w:szCs w:val="20"/>
                <w:color w:val="auto"/>
              </w:rPr>
            </w:pPr>
            <w:r>
              <w:rPr>
                <w:rFonts w:ascii="Arial" w:cs="Arial" w:eastAsia="Arial" w:hAnsi="Arial"/>
                <w:sz w:val="14"/>
                <w:szCs w:val="14"/>
                <w:color w:val="auto"/>
              </w:rPr>
              <w:t>Ordinary</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Shares, par</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value</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$0.0001 per</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rPr>
              <w:t>share</w:t>
            </w:r>
          </w:p>
        </w:tc>
        <w:tc>
          <w:tcPr>
            <w:tcW w:w="800" w:type="dxa"/>
            <w:vAlign w:val="bottom"/>
          </w:tcPr>
          <w:p>
            <w:pPr>
              <w:jc w:val="right"/>
              <w:spacing w:after="0"/>
              <w:rPr>
                <w:sz w:val="20"/>
                <w:szCs w:val="20"/>
                <w:color w:val="auto"/>
              </w:rPr>
            </w:pPr>
            <w:r>
              <w:rPr>
                <w:rFonts w:ascii="Arial" w:cs="Arial" w:eastAsia="Arial" w:hAnsi="Arial"/>
                <w:sz w:val="14"/>
                <w:szCs w:val="14"/>
                <w:color w:val="auto"/>
              </w:rPr>
              <w:t>457(c)</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141,773,298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w w:val="93"/>
              </w:rPr>
              <w:t>1,709,785,974(4)</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w w:val="95"/>
              </w:rPr>
              <w:t>$ 0.00011020</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188,418</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940" w:type="dxa"/>
            <w:vAlign w:val="bottom"/>
            <w:gridSpan w:val="4"/>
            <w:shd w:val="clear" w:color="auto" w:fill="CCEEFF"/>
          </w:tcPr>
          <w:p>
            <w:pPr>
              <w:jc w:val="right"/>
              <w:ind w:right="768"/>
              <w:spacing w:after="0" w:line="149" w:lineRule="exact"/>
              <w:rPr>
                <w:sz w:val="20"/>
                <w:szCs w:val="20"/>
                <w:color w:val="auto"/>
              </w:rPr>
            </w:pPr>
            <w:r>
              <w:rPr>
                <w:rFonts w:ascii="Arial" w:cs="Arial" w:eastAsia="Arial" w:hAnsi="Arial"/>
                <w:sz w:val="14"/>
                <w:szCs w:val="14"/>
                <w:b w:val="1"/>
                <w:bCs w:val="1"/>
                <w:color w:val="auto"/>
              </w:rPr>
              <w:t>Carry Forward Securities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20" w:type="dxa"/>
            <w:vAlign w:val="bottom"/>
          </w:tcPr>
          <w:p>
            <w:pPr>
              <w:spacing w:after="0" w:line="130" w:lineRule="exact"/>
              <w:rPr>
                <w:sz w:val="20"/>
                <w:szCs w:val="20"/>
                <w:color w:val="auto"/>
              </w:rPr>
            </w:pPr>
            <w:r>
              <w:rPr>
                <w:rFonts w:ascii="Arial" w:cs="Arial" w:eastAsia="Arial" w:hAnsi="Arial"/>
                <w:sz w:val="14"/>
                <w:szCs w:val="14"/>
                <w:color w:val="auto"/>
              </w:rPr>
              <w:t>Carry Forward</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20" w:type="dxa"/>
            <w:vAlign w:val="bottom"/>
          </w:tcPr>
          <w:p>
            <w:pPr>
              <w:ind w:left="180"/>
              <w:spacing w:after="0"/>
              <w:rPr>
                <w:sz w:val="20"/>
                <w:szCs w:val="20"/>
                <w:color w:val="auto"/>
              </w:rPr>
            </w:pPr>
            <w:r>
              <w:rPr>
                <w:rFonts w:ascii="Arial" w:cs="Arial" w:eastAsia="Arial" w:hAnsi="Arial"/>
                <w:sz w:val="14"/>
                <w:szCs w:val="14"/>
                <w:color w:val="auto"/>
              </w:rPr>
              <w:t>Securities</w:t>
            </w:r>
          </w:p>
        </w:tc>
        <w:tc>
          <w:tcPr>
            <w:tcW w:w="800" w:type="dxa"/>
            <w:vAlign w:val="bottom"/>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Total Offering Amounts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2,009,785,974</w:t>
            </w:r>
          </w:p>
        </w:tc>
        <w:tc>
          <w:tcPr>
            <w:tcW w:w="9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5"/>
              </w:rPr>
              <w:t>$ 0.00011020</w:t>
            </w:r>
          </w:p>
        </w:tc>
        <w:tc>
          <w:tcPr>
            <w:tcW w:w="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221,478</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Total Fees Previously Paid</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Total Fee Offsets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13,786(6)</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Net Fee Due</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207,692</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340" w:hanging="332"/>
        <w:spacing w:after="0" w:line="255"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 is registering an indeterminate number of securities for offer and sale from time to time at indeterminate prices, which shall have an aggregate offering price not to exceed $300,000,000.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9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457(o) under the Securities Act.</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Pursuant to Rule 457(c) under the Securities Act, and solely for the purpose of calculating the registration fee, the proposed maximum offering price per share is $12.06, which is calculated based on the average of the high and low prices of the registrant’s ADSs as reported on the Nasdaq on July 7, 2023 (such date being within five business days of the date that this registration statement was first filed with the SEC).</w:t>
      </w:r>
    </w:p>
    <w:p>
      <w:pPr>
        <w:spacing w:after="0" w:line="165"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Pursuant to Rule 457(g) of the Securities Act, no separate registration fee is required for the Warrants because the Warrants are being registered in the same registration statement as the ordinary shares represented by ADSs of the Registrant issuable upon exercise of the Warrants.</w:t>
      </w:r>
    </w:p>
    <w:p>
      <w:pPr>
        <w:spacing w:after="0" w:line="12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Rule 457(p) under the Securities Act, the Registrant is offsetting $13,786 of the fees associated with this registration statement from the filing fee previously paid by the registrant associated with the unsold securities, including ordinary shares represented by American depositary shares, preferred shares, debt securities and warrants registered on the registrant’s Registration Statement on Form F-3 (File No. 333-233691) filed on September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Table 2: Fee Offset Claims and Sources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Unsold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Unsold</w:t>
            </w:r>
          </w:p>
        </w:tc>
        <w:tc>
          <w:tcPr>
            <w:tcW w:w="10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9"/>
              </w:rPr>
              <w:t>Aggregate</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Offering</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Type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Title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Amount</w:t>
            </w:r>
          </w:p>
        </w:tc>
        <w:tc>
          <w:tcPr>
            <w:tcW w:w="7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3"/>
              </w:rPr>
              <w:t>Fee Paid</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Registrant</w:t>
            </w:r>
          </w:p>
        </w:tc>
        <w:tc>
          <w:tcPr>
            <w:tcW w:w="8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Initial</w:t>
            </w: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Associated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Associated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Associated</w:t>
            </w:r>
          </w:p>
        </w:tc>
        <w:tc>
          <w:tcPr>
            <w:tcW w:w="10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8"/>
              </w:rPr>
              <w:t>Associated</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File</w:t>
            </w:r>
          </w:p>
        </w:tc>
        <w:tc>
          <w:tcPr>
            <w:tcW w:w="8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0"/>
              </w:rPr>
              <w:t>Fee Offset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 Fee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 Fee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 Fee</w:t>
            </w:r>
          </w:p>
        </w:tc>
        <w:tc>
          <w:tcPr>
            <w:tcW w:w="10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with Fee</w:t>
            </w: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with Fee</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or Filer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Filing</w:t>
            </w:r>
          </w:p>
        </w:tc>
        <w:tc>
          <w:tcPr>
            <w:tcW w:w="1000" w:type="dxa"/>
            <w:vAlign w:val="bottom"/>
            <w:vMerge w:val="continue"/>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Filing</w:t>
            </w:r>
          </w:p>
        </w:tc>
        <w:tc>
          <w:tcPr>
            <w:tcW w:w="12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4"/>
              </w:rPr>
              <w:t>Filing Date</w:t>
            </w:r>
          </w:p>
        </w:tc>
        <w:tc>
          <w:tcPr>
            <w:tcW w:w="8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Offset</w:t>
            </w:r>
          </w:p>
        </w:tc>
        <w:tc>
          <w:tcPr>
            <w:tcW w:w="10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Offset</w:t>
            </w: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Offset</w:t>
            </w: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Number</w:t>
            </w: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Date</w:t>
            </w:r>
          </w:p>
        </w:tc>
        <w:tc>
          <w:tcPr>
            <w:tcW w:w="1200" w:type="dxa"/>
            <w:vAlign w:val="bottom"/>
            <w:vMerge w:val="continue"/>
          </w:tcPr>
          <w:p>
            <w:pPr>
              <w:spacing w:after="0"/>
              <w:rPr>
                <w:sz w:val="16"/>
                <w:szCs w:val="16"/>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Claimed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Claimed</w:t>
            </w:r>
          </w:p>
        </w:tc>
        <w:tc>
          <w:tcPr>
            <w:tcW w:w="72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Source</w:t>
            </w:r>
          </w:p>
        </w:tc>
        <w:tc>
          <w:tcPr>
            <w:tcW w:w="0" w:type="dxa"/>
            <w:vAlign w:val="bottom"/>
          </w:tcPr>
          <w:p>
            <w:pPr>
              <w:spacing w:after="0"/>
              <w:rPr>
                <w:sz w:val="1"/>
                <w:szCs w:val="1"/>
                <w:color w:val="auto"/>
              </w:rPr>
            </w:pPr>
          </w:p>
        </w:tc>
      </w:tr>
      <w:tr>
        <w:trPr>
          <w:trHeight w:val="446"/>
        </w:trPr>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14"/>
                <w:szCs w:val="14"/>
                <w:color w:val="auto"/>
                <w:w w:val="95"/>
              </w:rPr>
              <w:t>Rule 457(p)</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 Offset Claims</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right="48"/>
              <w:spacing w:after="0" w:line="130" w:lineRule="exact"/>
              <w:rPr>
                <w:sz w:val="20"/>
                <w:szCs w:val="20"/>
                <w:color w:val="auto"/>
              </w:rPr>
            </w:pPr>
            <w:r>
              <w:rPr>
                <w:rFonts w:ascii="Arial" w:cs="Arial" w:eastAsia="Arial" w:hAnsi="Arial"/>
                <w:sz w:val="14"/>
                <w:szCs w:val="14"/>
                <w:color w:val="auto"/>
                <w:w w:val="92"/>
              </w:rPr>
              <w:t>Opera</w:t>
            </w: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333-</w:t>
            </w: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28"/>
              <w:spacing w:after="0" w:line="130" w:lineRule="exact"/>
              <w:rPr>
                <w:sz w:val="20"/>
                <w:szCs w:val="20"/>
                <w:color w:val="auto"/>
              </w:rPr>
            </w:pPr>
            <w:r>
              <w:rPr>
                <w:rFonts w:ascii="Arial" w:cs="Arial" w:eastAsia="Arial" w:hAnsi="Arial"/>
                <w:sz w:val="14"/>
                <w:szCs w:val="14"/>
                <w:color w:val="auto"/>
                <w:w w:val="89"/>
              </w:rPr>
              <w:t>September 10,</w:t>
            </w: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w w:val="96"/>
              </w:rPr>
              <w:t>Fee Offset Sources</w:t>
            </w:r>
          </w:p>
        </w:tc>
        <w:tc>
          <w:tcPr>
            <w:tcW w:w="9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Limited</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F-3</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233691</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2019</w:t>
            </w:r>
          </w:p>
        </w:tc>
        <w:tc>
          <w:tcPr>
            <w:tcW w:w="8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24,240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upperLetter"/>
      <w:start w:val="2"/>
    </w:lvl>
    <w:lvl w:ilvl="1">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9">
    <w:nsid w:val="3F6AB60F"/>
    <w:multiLevelType w:val="hybridMultilevel"/>
    <w:lvl w:ilvl="0">
      <w:lvlJc w:val="left"/>
      <w:lvlText w:val="(%1)"/>
      <w:numFmt w:val="decimal"/>
      <w:start w:val="2"/>
    </w:lvl>
    <w:lvl w:ilvl="1">
      <w:lvlJc w:val="left"/>
      <w:lvlText w:val="(%2)"/>
      <w:numFmt w:val="lowerRoman"/>
      <w:start w:val="1"/>
    </w:lvl>
  </w:abstractNum>
  <w:abstractNum w:abstractNumId="30">
    <w:nsid w:val="61574095"/>
    <w:multiLevelType w:val="hybridMultilevel"/>
    <w:lvl w:ilvl="0">
      <w:lvlJc w:val="left"/>
      <w:lvlText w:val="(%1)"/>
      <w:numFmt w:val="decimal"/>
      <w:start w:val="6"/>
    </w:lvl>
  </w:abstractNum>
  <w:abstractNum w:abstractNumId="31">
    <w:nsid w:val="7E0C57B1"/>
    <w:multiLevelType w:val="hybridMultilevel"/>
    <w:lvl w:ilvl="0">
      <w:lvlJc w:val="left"/>
      <w:lvlText w:val="%1"/>
      <w:numFmt w:val="upperLetter"/>
      <w:start w:val="1"/>
    </w:lvl>
    <w:lvl w:ilvl="1">
      <w:lvlJc w:val="left"/>
      <w:lvlText w:val="(%2)"/>
      <w:numFmt w:val="lowerRoman"/>
      <w:start w:val="1"/>
    </w:lvl>
  </w:abstractNum>
  <w:abstractNum w:abstractNumId="32">
    <w:nsid w:val="77AE35EB"/>
    <w:multiLevelType w:val="hybridMultilevel"/>
    <w:lvl w:ilvl="0">
      <w:lvlJc w:val="left"/>
      <w:lvlText w:val="(%1)"/>
      <w:numFmt w:val="upperLetter"/>
      <w:start w:val="2"/>
    </w:lvl>
    <w:lvl w:ilvl="1">
      <w:lvlJc w:val="left"/>
      <w:lvlText w:val="%2"/>
      <w:numFmt w:val="lowerRoman"/>
      <w:start w:val="1"/>
    </w:lvl>
  </w:abstractNum>
  <w:abstractNum w:abstractNumId="33">
    <w:nsid w:val="579BE4F1"/>
    <w:multiLevelType w:val="hybridMultilevel"/>
    <w:lvl w:ilvl="0">
      <w:lvlJc w:val="left"/>
      <w:lvlText w:val="%1"/>
      <w:numFmt w:val="decimal"/>
      <w:start w:val="107"/>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lowerRoman"/>
      <w:start w:val="2"/>
    </w:lvl>
  </w:abstractNum>
  <w:abstractNum w:abstractNumId="38">
    <w:nsid w:val="1DBABF00"/>
    <w:multiLevelType w:val="hybridMultilevel"/>
    <w:lvl w:ilvl="0">
      <w:lvlJc w:val="left"/>
      <w:lvlText w:val="(%1)"/>
      <w:numFmt w:val="lowerRoman"/>
      <w:start w:val="1"/>
    </w:lvl>
  </w:abstractNum>
  <w:abstractNum w:abstractNumId="39">
    <w:nsid w:val="4AD084E9"/>
    <w:multiLevelType w:val="hybridMultilevel"/>
    <w:lvl w:ilvl="0">
      <w:lvlJc w:val="left"/>
      <w:lvlText w:val="(%1)"/>
      <w:numFmt w:val="lowerLetter"/>
      <w:start w:val="1"/>
    </w:lvl>
  </w:abstractNum>
  <w:abstractNum w:abstractNumId="40">
    <w:nsid w:val="1F48EAA1"/>
    <w:multiLevelType w:val="hybridMultilevel"/>
    <w:lvl w:ilvl="0">
      <w:lvlJc w:val="left"/>
      <w:lvlText w:val="(%1)"/>
      <w:numFmt w:val="lowerLetter"/>
      <w:start w:val="3"/>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lowerLetter"/>
      <w:start w:val="3"/>
    </w:lvl>
  </w:abstractNum>
  <w:abstractNum w:abstractNumId="43">
    <w:nsid w:val="100F8FCA"/>
    <w:multiLevelType w:val="hybridMultilevel"/>
    <w:lvl w:ilvl="0">
      <w:lvlJc w:val="left"/>
      <w:lvlText w:val="(%1)"/>
      <w:numFmt w:val="lowerRoman"/>
      <w:start w:val="2"/>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Letter"/>
      <w:start w:val="4"/>
    </w:lvl>
    <w:lvl w:ilvl="1">
      <w:lvlJc w:val="left"/>
      <w:lvlText w:val="(%2)"/>
      <w:numFmt w:val="lowerRoman"/>
      <w:start w:val="1"/>
    </w:lvl>
  </w:abstractNum>
  <w:abstractNum w:abstractNumId="48">
    <w:nsid w:val="799D0247"/>
    <w:multiLevelType w:val="hybridMultilevel"/>
    <w:lvl w:ilvl="0">
      <w:lvlJc w:val="left"/>
      <w:lvlText w:val="(%1)"/>
      <w:numFmt w:val="lowerRoman"/>
      <w:start w:val="1"/>
    </w:lvl>
  </w:abstractNum>
  <w:abstractNum w:abstractNumId="49">
    <w:nsid w:val="6B94764"/>
    <w:multiLevelType w:val="hybridMultilevel"/>
    <w:lvl w:ilvl="0">
      <w:lvlJc w:val="left"/>
      <w:lvlText w:val="(%1)"/>
      <w:numFmt w:val="lowerLetter"/>
      <w:start w:val="6"/>
    </w:lvl>
  </w:abstractNum>
  <w:abstractNum w:abstractNumId="50">
    <w:nsid w:val="42C296BD"/>
    <w:multiLevelType w:val="hybridMultilevel"/>
    <w:lvl w:ilvl="0">
      <w:lvlJc w:val="left"/>
      <w:lvlText w:val="(%1)"/>
      <w:numFmt w:val="lowerLetter"/>
      <w:start w:val="5"/>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2"/>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2"/>
    </w:lvl>
    <w:lvl w:ilvl="1">
      <w:lvlJc w:val="left"/>
      <w:lvlText w:val="(%2)"/>
      <w:numFmt w:val="lowerRoman"/>
      <w:start w:val="1"/>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2"/>
    </w:lvl>
  </w:abstractNum>
  <w:abstractNum w:abstractNumId="60">
    <w:nsid w:val="11447B73"/>
    <w:multiLevelType w:val="hybridMultilevel"/>
    <w:lvl w:ilvl="0">
      <w:lvlJc w:val="left"/>
      <w:lvlText w:val="(%1)"/>
      <w:numFmt w:val="lowerLetter"/>
      <w:start w:val="10"/>
    </w:lvl>
  </w:abstractNum>
  <w:abstractNum w:abstractNumId="61">
    <w:nsid w:val="42963E5A"/>
    <w:multiLevelType w:val="hybridMultilevel"/>
    <w:lvl w:ilvl="0">
      <w:lvlJc w:val="left"/>
      <w:lvlText w:val="(%1)"/>
      <w:numFmt w:val="lowerLetter"/>
      <w:start w:val="12"/>
    </w:lvl>
  </w:abstractNum>
  <w:abstractNum w:abstractNumId="62">
    <w:nsid w:val="A0382C5"/>
    <w:multiLevelType w:val="hybridMultilevel"/>
    <w:lvl w:ilvl="0">
      <w:lvlJc w:val="left"/>
      <w:lvlText w:val="(%1)"/>
      <w:numFmt w:val="lowerLetter"/>
      <w:start w:val="13"/>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1"/>
    </w:lvl>
  </w:abstractNum>
  <w:abstractNum w:abstractNumId="65">
    <w:nsid w:val="3B0FD379"/>
    <w:multiLevelType w:val="hybridMultilevel"/>
    <w:lvl w:ilvl="0">
      <w:lvlJc w:val="left"/>
      <w:lvlText w:val="(%1)"/>
      <w:numFmt w:val="lowerLetter"/>
      <w:start w:val="1"/>
    </w:lvl>
    <w:lvl w:ilvl="1">
      <w:lvlJc w:val="left"/>
      <w:lvlText w:val="(%2)"/>
      <w:numFmt w:val="lowerLetter"/>
      <w:start w:val="9"/>
    </w:lvl>
  </w:abstractNum>
  <w:abstractNum w:abstractNumId="66">
    <w:nsid w:val="68EB2F63"/>
    <w:multiLevelType w:val="hybridMultilevel"/>
    <w:lvl w:ilvl="0">
      <w:lvlJc w:val="left"/>
      <w:lvlText w:val="(%1)"/>
      <w:numFmt w:val="lowerRoman"/>
      <w:start w:val="2"/>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lowerLetter"/>
      <w:start w:val="2"/>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1)"/>
      <w:numFmt w:val="lowerLetter"/>
      <w:start w:val="4"/>
    </w:lvl>
  </w:abstractNum>
  <w:abstractNum w:abstractNumId="72">
    <w:nsid w:val="1A27709E"/>
    <w:multiLevelType w:val="hybridMultilevel"/>
    <w:lvl w:ilvl="0">
      <w:lvlJc w:val="left"/>
      <w:lvlText w:val="(%1)"/>
      <w:numFmt w:val="lowerLetter"/>
      <w:start w:val="5"/>
    </w:lvl>
  </w:abstractNum>
  <w:abstractNum w:abstractNumId="73">
    <w:nsid w:val="71EA1109"/>
    <w:multiLevelType w:val="hybridMultilevel"/>
    <w:lvl w:ilvl="0">
      <w:lvlJc w:val="left"/>
      <w:lvlText w:val="(%1)"/>
      <w:numFmt w:val="lowerLetter"/>
      <w:start w:val="8"/>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5"/>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1"/>
    </w:lvl>
    <w:lvl w:ilvl="1">
      <w:lvlJc w:val="left"/>
      <w:lvlText w:val="%2)"/>
      <w:numFmt w:val="lowerLetter"/>
      <w:start w:val="1"/>
    </w:lvl>
  </w:abstractNum>
  <w:abstractNum w:abstractNumId="82">
    <w:nsid w:val="1716703B"/>
    <w:multiLevelType w:val="hybridMultilevel"/>
    <w:lvl w:ilvl="0">
      <w:lvlJc w:val="left"/>
      <w:lvlText w:val="%1)"/>
      <w:numFmt w:val="lowerLetter"/>
      <w:start w:val="3"/>
    </w:lvl>
    <w:lvl w:ilvl="1">
      <w:lvlJc w:val="left"/>
      <w:lvlText w:val="%2"/>
      <w:numFmt w:val="lowerLetter"/>
      <w:start w:val="1"/>
    </w:lvl>
  </w:abstractNum>
  <w:abstractNum w:abstractNumId="83">
    <w:nsid w:val="14E17E33"/>
    <w:multiLevelType w:val="hybridMultilevel"/>
    <w:lvl w:ilvl="0">
      <w:lvlJc w:val="left"/>
      <w:lvlText w:val="1"/>
      <w:numFmt w:val="bullet"/>
      <w:start w:val="1"/>
    </w:lvl>
  </w:abstractNum>
  <w:abstractNum w:abstractNumId="84">
    <w:nsid w:val="3222E7CD"/>
    <w:multiLevelType w:val="hybridMultilevel"/>
    <w:lvl w:ilvl="0">
      <w:lvlJc w:val="left"/>
      <w:lvlText w:val="2"/>
      <w:numFmt w:val="bullet"/>
      <w:start w:val="1"/>
    </w:lvl>
  </w:abstractNum>
  <w:abstractNum w:abstractNumId="85">
    <w:nsid w:val="74DE0EE3"/>
    <w:multiLevelType w:val="hybridMultilevel"/>
    <w:lvl w:ilvl="0">
      <w:lvlJc w:val="left"/>
      <w:lvlText w:val="3"/>
      <w:numFmt w:val="bullet"/>
      <w:start w:val="1"/>
    </w:lvl>
  </w:abstractNum>
  <w:abstractNum w:abstractNumId="86">
    <w:nsid w:val="68EBC550"/>
    <w:multiLevelType w:val="hybridMultilevel"/>
    <w:lvl w:ilvl="0">
      <w:lvlJc w:val="left"/>
      <w:lvlText w:val="4"/>
      <w:numFmt w:val="bullet"/>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12"/>
    </w:lvl>
  </w:abstractNum>
  <w:abstractNum w:abstractNumId="89">
    <w:nsid w:val="4A2AC315"/>
    <w:multiLevelType w:val="hybridMultilevel"/>
    <w:lvl w:ilvl="0">
      <w:lvlJc w:val="left"/>
      <w:lvlText w:val="%1:"/>
      <w:numFmt w:val="upperLetter"/>
      <w:start w:val="20"/>
    </w:lvl>
  </w:abstractNum>
  <w:abstractNum w:abstractNumId="90">
    <w:nsid w:val="39EE015C"/>
    <w:multiLevelType w:val="hybridMultilevel"/>
    <w:lvl w:ilvl="0">
      <w:lvlJc w:val="left"/>
      <w:lvlText w:val="(%1)"/>
      <w:numFmt w:val="upperLetter"/>
      <w:start w:val="2"/>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jpe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25" Type="http://schemas.openxmlformats.org/officeDocument/2006/relationships/hyperlink" Target="http://www.sec.gov/Archives/edgar/data/1737450/000143774923010743/opra20221231_20f.htm" TargetMode="External"/><Relationship Id="rId75" Type="http://schemas.openxmlformats.org/officeDocument/2006/relationships/hyperlink" Target="http://www.sec.gov/Archives/edgar/data/1737450/000157104918000397/tv497809_ex3-2.htm" TargetMode="External"/><Relationship Id="rId76" Type="http://schemas.openxmlformats.org/officeDocument/2006/relationships/hyperlink" Target="http://www.sec.gov/Archives/edgar/data/1737450/000114420418036749/tv496863_ex4-2.htm" TargetMode="External"/><Relationship Id="rId77" Type="http://schemas.openxmlformats.org/officeDocument/2006/relationships/hyperlink" Target="http://www.sec.gov/Archives/edgar/data/1737450/000114420418039365/tv498575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2023-07-14T06:13:50Z</dcterms:created>
  <dcterms:modified xsi:type="dcterms:W3CDTF">2023-07-14T06:13:50Z</dcterms:modified>
</cp:coreProperties>
</file>