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39"/>
        <w:spacing w:after="0"/>
        <w:rPr>
          <w:sz w:val="20"/>
          <w:szCs w:val="20"/>
          <w:color w:val="auto"/>
        </w:rPr>
      </w:pPr>
      <w:r>
        <w:rPr>
          <w:rFonts w:ascii="Arial" w:cs="Arial" w:eastAsia="Arial" w:hAnsi="Arial"/>
          <w:sz w:val="18"/>
          <w:szCs w:val="18"/>
          <w:color w:val="auto"/>
        </w:rPr>
        <w:drawing>
          <wp:anchor simplePos="0" relativeHeight="251657728" behindDoc="1" locked="0" layoutInCell="0" allowOverlap="1">
            <wp:simplePos x="0" y="0"/>
            <wp:positionH relativeFrom="page">
              <wp:posOffset>2618740</wp:posOffset>
            </wp:positionH>
            <wp:positionV relativeFrom="page">
              <wp:posOffset>311785</wp:posOffset>
            </wp:positionV>
            <wp:extent cx="2358390" cy="2228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2358390" cy="222885"/>
                    </a:xfrm>
                    <a:prstGeom prst="rect">
                      <a:avLst/>
                    </a:prstGeom>
                    <a:noFill/>
                  </pic:spPr>
                </pic:pic>
              </a:graphicData>
            </a:graphic>
          </wp:anchor>
        </w:drawing>
        <w:t>26th Floor, Gloucester Tower</w:t>
      </w:r>
    </w:p>
    <w:p>
      <w:pPr>
        <w:spacing w:after="0" w:line="23" w:lineRule="exact"/>
        <w:rPr>
          <w:sz w:val="24"/>
          <w:szCs w:val="24"/>
          <w:color w:val="auto"/>
        </w:rPr>
      </w:pPr>
    </w:p>
    <w:p>
      <w:pPr>
        <w:jc w:val="center"/>
        <w:ind w:right="-39"/>
        <w:spacing w:after="0"/>
        <w:rPr>
          <w:sz w:val="20"/>
          <w:szCs w:val="20"/>
          <w:color w:val="auto"/>
        </w:rPr>
      </w:pPr>
      <w:r>
        <w:rPr>
          <w:rFonts w:ascii="Arial" w:cs="Arial" w:eastAsia="Arial" w:hAnsi="Arial"/>
          <w:sz w:val="18"/>
          <w:szCs w:val="18"/>
          <w:color w:val="auto"/>
        </w:rPr>
        <w:t>The Landmark</w:t>
      </w:r>
    </w:p>
    <w:p>
      <w:pPr>
        <w:spacing w:after="0" w:line="9" w:lineRule="exact"/>
        <w:rPr>
          <w:sz w:val="24"/>
          <w:szCs w:val="24"/>
          <w:color w:val="auto"/>
        </w:rPr>
      </w:pPr>
    </w:p>
    <w:p>
      <w:pPr>
        <w:jc w:val="center"/>
        <w:ind w:right="-39"/>
        <w:spacing w:after="0"/>
        <w:rPr>
          <w:sz w:val="20"/>
          <w:szCs w:val="20"/>
          <w:color w:val="auto"/>
        </w:rPr>
      </w:pPr>
      <w:r>
        <w:rPr>
          <w:rFonts w:ascii="Arial" w:cs="Arial" w:eastAsia="Arial" w:hAnsi="Arial"/>
          <w:sz w:val="18"/>
          <w:szCs w:val="18"/>
          <w:color w:val="auto"/>
        </w:rPr>
        <w:t>15 Queen’s Road Central</w:t>
      </w:r>
    </w:p>
    <w:p>
      <w:pPr>
        <w:spacing w:after="0" w:line="9" w:lineRule="exact"/>
        <w:rPr>
          <w:sz w:val="24"/>
          <w:szCs w:val="24"/>
          <w:color w:val="auto"/>
        </w:rPr>
      </w:pPr>
    </w:p>
    <w:p>
      <w:pPr>
        <w:jc w:val="center"/>
        <w:ind w:right="-39"/>
        <w:spacing w:after="0"/>
        <w:rPr>
          <w:sz w:val="20"/>
          <w:szCs w:val="20"/>
          <w:color w:val="auto"/>
        </w:rPr>
      </w:pPr>
      <w:r>
        <w:rPr>
          <w:rFonts w:ascii="Arial" w:cs="Arial" w:eastAsia="Arial" w:hAnsi="Arial"/>
          <w:sz w:val="18"/>
          <w:szCs w:val="18"/>
          <w:color w:val="auto"/>
        </w:rPr>
        <w:t>Hong Kong</w:t>
      </w:r>
    </w:p>
    <w:p>
      <w:pPr>
        <w:spacing w:after="0" w:line="211" w:lineRule="exact"/>
        <w:rPr>
          <w:sz w:val="24"/>
          <w:szCs w:val="24"/>
          <w:color w:val="auto"/>
        </w:rPr>
      </w:pPr>
    </w:p>
    <w:tbl>
      <w:tblPr>
        <w:tblLayout w:type="fixed"/>
        <w:tblInd w:w="4700" w:type="dxa"/>
        <w:tblCellMar>
          <w:top w:w="0" w:type="dxa"/>
          <w:left w:w="0" w:type="dxa"/>
          <w:bottom w:w="0" w:type="dxa"/>
          <w:right w:w="0" w:type="dxa"/>
        </w:tblCellMar>
      </w:tblPr>
      <w:tr>
        <w:trPr>
          <w:trHeight w:val="216"/>
        </w:trPr>
        <w:tc>
          <w:tcPr>
            <w:tcW w:w="2940" w:type="dxa"/>
            <w:vAlign w:val="bottom"/>
          </w:tcPr>
          <w:p>
            <w:pPr>
              <w:jc w:val="center"/>
              <w:ind w:right="810"/>
              <w:spacing w:after="0"/>
              <w:rPr>
                <w:sz w:val="20"/>
                <w:szCs w:val="20"/>
                <w:color w:val="auto"/>
              </w:rPr>
            </w:pPr>
            <w:r>
              <w:rPr>
                <w:rFonts w:ascii="Arial" w:cs="Arial" w:eastAsia="Arial" w:hAnsi="Arial"/>
                <w:sz w:val="18"/>
                <w:szCs w:val="18"/>
                <w:color w:val="auto"/>
                <w:w w:val="90"/>
              </w:rPr>
              <w:t>Telephone: +852 3761 3300</w:t>
            </w:r>
          </w:p>
        </w:tc>
        <w:tc>
          <w:tcPr>
            <w:tcW w:w="2900" w:type="dxa"/>
            <w:vAlign w:val="bottom"/>
          </w:tcPr>
          <w:p>
            <w:pPr>
              <w:jc w:val="center"/>
              <w:ind w:left="830"/>
              <w:spacing w:after="0"/>
              <w:rPr>
                <w:sz w:val="20"/>
                <w:szCs w:val="20"/>
                <w:color w:val="auto"/>
              </w:rPr>
            </w:pPr>
            <w:r>
              <w:rPr>
                <w:rFonts w:ascii="Arial" w:cs="Arial" w:eastAsia="Arial" w:hAnsi="Arial"/>
                <w:sz w:val="18"/>
                <w:szCs w:val="18"/>
                <w:color w:val="auto"/>
                <w:w w:val="92"/>
              </w:rPr>
              <w:t>David Zhang</w:t>
            </w:r>
          </w:p>
        </w:tc>
      </w:tr>
      <w:tr>
        <w:trPr>
          <w:trHeight w:val="216"/>
        </w:trPr>
        <w:tc>
          <w:tcPr>
            <w:tcW w:w="2940" w:type="dxa"/>
            <w:vAlign w:val="bottom"/>
          </w:tcPr>
          <w:p>
            <w:pPr>
              <w:jc w:val="center"/>
              <w:ind w:right="810"/>
              <w:spacing w:after="0"/>
              <w:rPr>
                <w:sz w:val="20"/>
                <w:szCs w:val="20"/>
                <w:color w:val="auto"/>
              </w:rPr>
            </w:pPr>
            <w:r>
              <w:rPr>
                <w:rFonts w:ascii="Arial" w:cs="Arial" w:eastAsia="Arial" w:hAnsi="Arial"/>
                <w:sz w:val="18"/>
                <w:szCs w:val="18"/>
                <w:color w:val="auto"/>
                <w:w w:val="90"/>
              </w:rPr>
              <w:t>Facsimile: +852 3761 3301</w:t>
            </w:r>
          </w:p>
        </w:tc>
        <w:tc>
          <w:tcPr>
            <w:tcW w:w="2900" w:type="dxa"/>
            <w:vAlign w:val="bottom"/>
          </w:tcPr>
          <w:p>
            <w:pPr>
              <w:jc w:val="center"/>
              <w:ind w:left="810"/>
              <w:spacing w:after="0"/>
              <w:rPr>
                <w:sz w:val="20"/>
                <w:szCs w:val="20"/>
                <w:color w:val="auto"/>
              </w:rPr>
            </w:pPr>
            <w:r>
              <w:rPr>
                <w:rFonts w:ascii="Arial" w:cs="Arial" w:eastAsia="Arial" w:hAnsi="Arial"/>
                <w:sz w:val="18"/>
                <w:szCs w:val="18"/>
                <w:color w:val="auto"/>
                <w:w w:val="95"/>
              </w:rPr>
              <w:t>To Call Writer Directly</w:t>
            </w:r>
          </w:p>
        </w:tc>
      </w:tr>
      <w:tr>
        <w:trPr>
          <w:trHeight w:val="216"/>
        </w:trPr>
        <w:tc>
          <w:tcPr>
            <w:tcW w:w="2940" w:type="dxa"/>
            <w:vAlign w:val="bottom"/>
          </w:tcPr>
          <w:p>
            <w:pPr>
              <w:spacing w:after="0"/>
              <w:rPr>
                <w:sz w:val="18"/>
                <w:szCs w:val="18"/>
                <w:color w:val="auto"/>
              </w:rPr>
            </w:pPr>
          </w:p>
        </w:tc>
        <w:tc>
          <w:tcPr>
            <w:tcW w:w="2900" w:type="dxa"/>
            <w:vAlign w:val="bottom"/>
          </w:tcPr>
          <w:p>
            <w:pPr>
              <w:jc w:val="center"/>
              <w:ind w:left="830"/>
              <w:spacing w:after="0"/>
              <w:rPr>
                <w:sz w:val="20"/>
                <w:szCs w:val="20"/>
                <w:color w:val="auto"/>
              </w:rPr>
            </w:pPr>
            <w:r>
              <w:rPr>
                <w:rFonts w:ascii="Arial" w:cs="Arial" w:eastAsia="Arial" w:hAnsi="Arial"/>
                <w:sz w:val="18"/>
                <w:szCs w:val="18"/>
                <w:color w:val="auto"/>
                <w:w w:val="90"/>
              </w:rPr>
              <w:t>+852 3761 3318</w:t>
            </w:r>
          </w:p>
        </w:tc>
      </w:tr>
      <w:tr>
        <w:trPr>
          <w:trHeight w:val="230"/>
        </w:trPr>
        <w:tc>
          <w:tcPr>
            <w:tcW w:w="2940" w:type="dxa"/>
            <w:vAlign w:val="bottom"/>
          </w:tcPr>
          <w:p>
            <w:pPr>
              <w:jc w:val="center"/>
              <w:ind w:right="810"/>
              <w:spacing w:after="0"/>
              <w:rPr>
                <w:sz w:val="20"/>
                <w:szCs w:val="20"/>
                <w:color w:val="auto"/>
              </w:rPr>
            </w:pPr>
            <w:r>
              <w:rPr>
                <w:rFonts w:ascii="Arial" w:cs="Arial" w:eastAsia="Arial" w:hAnsi="Arial"/>
                <w:sz w:val="18"/>
                <w:szCs w:val="18"/>
                <w:color w:val="auto"/>
                <w:w w:val="93"/>
              </w:rPr>
              <w:t>www.kirkland.com</w:t>
            </w:r>
          </w:p>
        </w:tc>
        <w:tc>
          <w:tcPr>
            <w:tcW w:w="2900" w:type="dxa"/>
            <w:vAlign w:val="bottom"/>
          </w:tcPr>
          <w:p>
            <w:pPr>
              <w:jc w:val="center"/>
              <w:ind w:left="810"/>
              <w:spacing w:after="0"/>
              <w:rPr>
                <w:sz w:val="20"/>
                <w:szCs w:val="20"/>
                <w:color w:val="auto"/>
              </w:rPr>
            </w:pPr>
            <w:r>
              <w:rPr>
                <w:rFonts w:ascii="Arial" w:cs="Arial" w:eastAsia="Arial" w:hAnsi="Arial"/>
                <w:sz w:val="18"/>
                <w:szCs w:val="18"/>
                <w:color w:val="auto"/>
                <w:w w:val="92"/>
              </w:rPr>
              <w:t>david.zhang@kirkland.com</w:t>
            </w:r>
          </w:p>
        </w:tc>
      </w:tr>
      <w:tr>
        <w:trPr>
          <w:trHeight w:val="432"/>
        </w:trPr>
        <w:tc>
          <w:tcPr>
            <w:tcW w:w="2940" w:type="dxa"/>
            <w:vAlign w:val="bottom"/>
          </w:tcPr>
          <w:p>
            <w:pPr>
              <w:jc w:val="center"/>
              <w:ind w:right="810"/>
              <w:spacing w:after="0"/>
              <w:rPr>
                <w:sz w:val="20"/>
                <w:szCs w:val="20"/>
                <w:color w:val="auto"/>
              </w:rPr>
            </w:pPr>
            <w:r>
              <w:rPr>
                <w:rFonts w:ascii="Arial" w:cs="Arial" w:eastAsia="Arial" w:hAnsi="Arial"/>
                <w:sz w:val="18"/>
                <w:szCs w:val="18"/>
                <w:color w:val="auto"/>
                <w:w w:val="89"/>
              </w:rPr>
              <w:t>July 13, 2018</w:t>
            </w:r>
          </w:p>
        </w:tc>
        <w:tc>
          <w:tcPr>
            <w:tcW w:w="2900" w:type="dxa"/>
            <w:vAlign w:val="bottom"/>
          </w:tcPr>
          <w:p>
            <w:pPr>
              <w:spacing w:after="0"/>
              <w:rPr>
                <w:sz w:val="24"/>
                <w:szCs w:val="24"/>
                <w:color w:val="auto"/>
              </w:rPr>
            </w:pPr>
          </w:p>
        </w:tc>
      </w:tr>
    </w:tbl>
    <w:p>
      <w:pPr>
        <w:spacing w:after="0" w:line="198"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CONFIDENTIAL</w:t>
      </w:r>
    </w:p>
    <w:p>
      <w:pPr>
        <w:spacing w:after="0" w:line="229" w:lineRule="exact"/>
        <w:rPr>
          <w:sz w:val="24"/>
          <w:szCs w:val="24"/>
          <w:color w:val="auto"/>
        </w:rPr>
      </w:pPr>
    </w:p>
    <w:p>
      <w:pPr>
        <w:spacing w:after="0"/>
        <w:rPr>
          <w:sz w:val="20"/>
          <w:szCs w:val="20"/>
          <w:color w:val="auto"/>
        </w:rPr>
      </w:pPr>
      <w:r>
        <w:rPr>
          <w:rFonts w:ascii="Arial" w:cs="Arial" w:eastAsia="Arial" w:hAnsi="Arial"/>
          <w:sz w:val="18"/>
          <w:szCs w:val="18"/>
          <w:color w:val="auto"/>
        </w:rPr>
        <w:t>Ms. Barbara C. Jacobs, Assistant Director</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Ms. Folake Ayoola, Special Counsel</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Mr. Stephen Krikorian, Accountant Branch Chief</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Mr. Ryan John, Staff Accountant</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Office of Information Technologies and Services</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Washington, D.C. 20549</w:t>
      </w:r>
    </w:p>
    <w:p>
      <w:pPr>
        <w:sectPr>
          <w:pgSz w:w="11900" w:h="16838" w:orient="portrait"/>
          <w:cols w:equalWidth="0" w:num="1">
            <w:col w:w="11400"/>
          </w:cols>
          <w:pgMar w:left="240" w:top="1314" w:right="259" w:bottom="1440" w:gutter="0" w:footer="0" w:header="0"/>
        </w:sectPr>
      </w:pPr>
    </w:p>
    <w:p>
      <w:pPr>
        <w:spacing w:after="0" w:line="211" w:lineRule="exact"/>
        <w:rPr>
          <w:sz w:val="24"/>
          <w:szCs w:val="24"/>
          <w:color w:val="auto"/>
        </w:rPr>
      </w:pPr>
    </w:p>
    <w:p>
      <w:pPr>
        <w:ind w:left="1300"/>
        <w:spacing w:after="0"/>
        <w:rPr>
          <w:sz w:val="20"/>
          <w:szCs w:val="20"/>
          <w:color w:val="auto"/>
        </w:rPr>
      </w:pPr>
      <w:r>
        <w:rPr>
          <w:rFonts w:ascii="Arial" w:cs="Arial" w:eastAsia="Arial" w:hAnsi="Arial"/>
          <w:sz w:val="16"/>
          <w:szCs w:val="16"/>
          <w:color w:val="auto"/>
        </w:rPr>
        <w:t>Re:</w:t>
      </w:r>
    </w:p>
    <w:p>
      <w:pPr>
        <w:spacing w:after="0" w:line="20" w:lineRule="exact"/>
        <w:rPr>
          <w:sz w:val="24"/>
          <w:szCs w:val="24"/>
          <w:color w:val="auto"/>
        </w:rPr>
      </w:pPr>
      <w:r>
        <w:rPr>
          <w:sz w:val="24"/>
          <w:szCs w:val="24"/>
          <w:color w:val="auto"/>
        </w:rPr>
        <w:br w:type="column"/>
      </w:r>
    </w:p>
    <w:p>
      <w:pPr>
        <w:spacing w:after="0" w:line="191" w:lineRule="exact"/>
        <w:rPr>
          <w:sz w:val="24"/>
          <w:szCs w:val="24"/>
          <w:color w:val="auto"/>
        </w:rPr>
      </w:pPr>
    </w:p>
    <w:p>
      <w:pPr>
        <w:spacing w:after="0"/>
        <w:rPr>
          <w:sz w:val="20"/>
          <w:szCs w:val="20"/>
          <w:color w:val="auto"/>
        </w:rPr>
      </w:pPr>
      <w:r>
        <w:rPr>
          <w:rFonts w:ascii="Arial" w:cs="Arial" w:eastAsia="Arial" w:hAnsi="Arial"/>
          <w:sz w:val="18"/>
          <w:szCs w:val="18"/>
          <w:color w:val="auto"/>
        </w:rPr>
        <w:t>Opera Limited</w:t>
      </w:r>
    </w:p>
    <w:p>
      <w:pPr>
        <w:spacing w:after="0" w:line="23" w:lineRule="exact"/>
        <w:rPr>
          <w:sz w:val="24"/>
          <w:szCs w:val="24"/>
          <w:color w:val="auto"/>
        </w:rPr>
      </w:pPr>
    </w:p>
    <w:p>
      <w:pPr>
        <w:spacing w:after="0"/>
        <w:rPr>
          <w:sz w:val="20"/>
          <w:szCs w:val="20"/>
          <w:color w:val="auto"/>
        </w:rPr>
      </w:pPr>
      <w:r>
        <w:rPr>
          <w:rFonts w:ascii="Arial" w:cs="Arial" w:eastAsia="Arial" w:hAnsi="Arial"/>
          <w:sz w:val="16"/>
          <w:szCs w:val="16"/>
          <w:color w:val="auto"/>
        </w:rPr>
        <w:t>Amendment No. 1 to the Registration Statement on Form F-1</w:t>
      </w:r>
    </w:p>
    <w:p>
      <w:pPr>
        <w:spacing w:after="0" w:line="32" w:lineRule="exact"/>
        <w:rPr>
          <w:sz w:val="24"/>
          <w:szCs w:val="24"/>
          <w:color w:val="auto"/>
        </w:rPr>
      </w:pPr>
    </w:p>
    <w:p>
      <w:pPr>
        <w:spacing w:after="0"/>
        <w:rPr>
          <w:sz w:val="20"/>
          <w:szCs w:val="20"/>
          <w:color w:val="auto"/>
        </w:rPr>
      </w:pPr>
      <w:r>
        <w:rPr>
          <w:rFonts w:ascii="Arial" w:cs="Arial" w:eastAsia="Arial" w:hAnsi="Arial"/>
          <w:sz w:val="18"/>
          <w:szCs w:val="18"/>
          <w:color w:val="auto"/>
        </w:rPr>
        <w:t>CIK No. 0001737450</w:t>
      </w:r>
    </w:p>
    <w:p>
      <w:pPr>
        <w:spacing w:after="0" w:line="200" w:lineRule="exact"/>
        <w:rPr>
          <w:sz w:val="24"/>
          <w:szCs w:val="24"/>
          <w:color w:val="auto"/>
        </w:rPr>
      </w:pPr>
    </w:p>
    <w:p>
      <w:pPr>
        <w:sectPr>
          <w:pgSz w:w="11900" w:h="16838" w:orient="portrait"/>
          <w:cols w:equalWidth="0" w:num="2">
            <w:col w:w="1560" w:space="400"/>
            <w:col w:w="9440"/>
          </w:cols>
          <w:pgMar w:left="240" w:top="1314" w:right="259" w:bottom="1440" w:gutter="0" w:footer="0" w:header="0"/>
          <w:type w:val="continuous"/>
        </w:sectPr>
      </w:pPr>
    </w:p>
    <w:p>
      <w:pPr>
        <w:spacing w:after="0" w:line="11" w:lineRule="exact"/>
        <w:rPr>
          <w:sz w:val="24"/>
          <w:szCs w:val="24"/>
          <w:color w:val="auto"/>
        </w:rPr>
      </w:pPr>
    </w:p>
    <w:p>
      <w:pPr>
        <w:spacing w:after="0"/>
        <w:rPr>
          <w:sz w:val="20"/>
          <w:szCs w:val="20"/>
          <w:color w:val="auto"/>
        </w:rPr>
      </w:pPr>
      <w:r>
        <w:rPr>
          <w:rFonts w:ascii="Arial" w:cs="Arial" w:eastAsia="Arial" w:hAnsi="Arial"/>
          <w:sz w:val="18"/>
          <w:szCs w:val="18"/>
          <w:color w:val="auto"/>
        </w:rPr>
        <w:t>Dear Ms. Jacobs, Ms. Ayoola, Mr. Krikorian and Mr. John:</w:t>
      </w:r>
    </w:p>
    <w:p>
      <w:pPr>
        <w:spacing w:after="0" w:line="225" w:lineRule="exact"/>
        <w:rPr>
          <w:sz w:val="24"/>
          <w:szCs w:val="24"/>
          <w:color w:val="auto"/>
        </w:rPr>
      </w:pPr>
    </w:p>
    <w:p>
      <w:pPr>
        <w:ind w:right="100" w:firstLine="648"/>
        <w:spacing w:after="0" w:line="257" w:lineRule="auto"/>
        <w:rPr>
          <w:sz w:val="20"/>
          <w:szCs w:val="20"/>
          <w:color w:val="auto"/>
        </w:rPr>
      </w:pPr>
      <w:r>
        <w:rPr>
          <w:rFonts w:ascii="Arial" w:cs="Arial" w:eastAsia="Arial" w:hAnsi="Arial"/>
          <w:sz w:val="18"/>
          <w:szCs w:val="18"/>
          <w:color w:val="auto"/>
        </w:rPr>
        <w:t>Our client, Opera Limited (the “</w:t>
      </w:r>
      <w:r>
        <w:rPr>
          <w:rFonts w:ascii="Arial" w:cs="Arial" w:eastAsia="Arial" w:hAnsi="Arial"/>
          <w:sz w:val="18"/>
          <w:szCs w:val="18"/>
          <w:b w:val="1"/>
          <w:bCs w:val="1"/>
          <w:i w:val="1"/>
          <w:iCs w:val="1"/>
          <w:color w:val="auto"/>
        </w:rPr>
        <w:t>Company</w:t>
      </w:r>
      <w:r>
        <w:rPr>
          <w:rFonts w:ascii="Arial" w:cs="Arial" w:eastAsia="Arial" w:hAnsi="Arial"/>
          <w:sz w:val="18"/>
          <w:szCs w:val="18"/>
          <w:color w:val="auto"/>
        </w:rPr>
        <w:t>”), a foreign private issuer incorporated with limited liability under the laws of the Cayman Islands, today publicly filed Amendment No. 1 to its revised registration statement on Form F-1 (the “</w:t>
      </w:r>
      <w:r>
        <w:rPr>
          <w:rFonts w:ascii="Arial" w:cs="Arial" w:eastAsia="Arial" w:hAnsi="Arial"/>
          <w:sz w:val="18"/>
          <w:szCs w:val="18"/>
          <w:b w:val="1"/>
          <w:bCs w:val="1"/>
          <w:i w:val="1"/>
          <w:iCs w:val="1"/>
          <w:color w:val="auto"/>
        </w:rPr>
        <w:t>Amended Registration Statement</w:t>
      </w:r>
      <w:r>
        <w:rPr>
          <w:rFonts w:ascii="Arial" w:cs="Arial" w:eastAsia="Arial" w:hAnsi="Arial"/>
          <w:sz w:val="18"/>
          <w:szCs w:val="18"/>
          <w:color w:val="auto"/>
        </w:rPr>
        <w:t>”) as well as certain exhibits hereto via EDGAR to the Securities and Exchange Commission (the “</w:t>
      </w:r>
      <w:r>
        <w:rPr>
          <w:rFonts w:ascii="Arial" w:cs="Arial" w:eastAsia="Arial" w:hAnsi="Arial"/>
          <w:sz w:val="18"/>
          <w:szCs w:val="18"/>
          <w:b w:val="1"/>
          <w:bCs w:val="1"/>
          <w:i w:val="1"/>
          <w:iCs w:val="1"/>
          <w:color w:val="auto"/>
        </w:rPr>
        <w:t>Commission</w:t>
      </w:r>
      <w:r>
        <w:rPr>
          <w:rFonts w:ascii="Arial" w:cs="Arial" w:eastAsia="Arial" w:hAnsi="Arial"/>
          <w:sz w:val="18"/>
          <w:szCs w:val="18"/>
          <w:color w:val="auto"/>
        </w:rPr>
        <w:t>”). To facilitate your review, the Company is delivering to the staff of the Commission via hand delivery five courtesy copies of this letter and the Amended Registration Statement, marked to show changes to the registration statement that was publicly filed on June 29, 2018 (the “</w:t>
      </w:r>
      <w:r>
        <w:rPr>
          <w:rFonts w:ascii="Arial" w:cs="Arial" w:eastAsia="Arial" w:hAnsi="Arial"/>
          <w:sz w:val="18"/>
          <w:szCs w:val="18"/>
          <w:b w:val="1"/>
          <w:bCs w:val="1"/>
          <w:i w:val="1"/>
          <w:iCs w:val="1"/>
          <w:color w:val="auto"/>
        </w:rPr>
        <w:t>Registration Statement</w:t>
      </w:r>
      <w:r>
        <w:rPr>
          <w:rFonts w:ascii="Arial" w:cs="Arial" w:eastAsia="Arial" w:hAnsi="Arial"/>
          <w:sz w:val="18"/>
          <w:szCs w:val="18"/>
          <w:color w:val="auto"/>
        </w:rPr>
        <w:t>”).</w:t>
      </w:r>
    </w:p>
    <w:p>
      <w:pPr>
        <w:spacing w:after="0" w:line="188" w:lineRule="exact"/>
        <w:rPr>
          <w:sz w:val="24"/>
          <w:szCs w:val="24"/>
          <w:color w:val="auto"/>
        </w:rPr>
      </w:pPr>
    </w:p>
    <w:p>
      <w:pPr>
        <w:ind w:right="60" w:firstLine="648"/>
        <w:spacing w:after="0" w:line="264" w:lineRule="auto"/>
        <w:rPr>
          <w:sz w:val="20"/>
          <w:szCs w:val="20"/>
          <w:color w:val="auto"/>
        </w:rPr>
      </w:pPr>
      <w:r>
        <w:rPr>
          <w:rFonts w:ascii="Arial" w:cs="Arial" w:eastAsia="Arial" w:hAnsi="Arial"/>
          <w:sz w:val="18"/>
          <w:szCs w:val="18"/>
          <w:color w:val="auto"/>
        </w:rPr>
        <w:t>The Company will commence its marketing activities in connection with the offering on July 16, 2018. The Company plans to request the Staff’s declaration of the effectiveness of the Registration Statement as of July 26, 2018. The Company would appreciate the Staff’s timely assistance and support to the Company in meeting the proposed timetable for the offering.</w:t>
      </w:r>
    </w:p>
    <w:p>
      <w:pPr>
        <w:spacing w:after="0" w:line="181" w:lineRule="exact"/>
        <w:rPr>
          <w:sz w:val="24"/>
          <w:szCs w:val="24"/>
          <w:color w:val="auto"/>
        </w:rPr>
      </w:pPr>
    </w:p>
    <w:p>
      <w:pPr>
        <w:ind w:firstLine="648"/>
        <w:spacing w:after="0" w:line="308" w:lineRule="auto"/>
        <w:rPr>
          <w:sz w:val="20"/>
          <w:szCs w:val="20"/>
          <w:color w:val="auto"/>
        </w:rPr>
      </w:pPr>
      <w:r>
        <w:rPr>
          <w:rFonts w:ascii="Arial" w:cs="Arial" w:eastAsia="Arial" w:hAnsi="Arial"/>
          <w:sz w:val="17"/>
          <w:szCs w:val="17"/>
          <w:color w:val="auto"/>
        </w:rPr>
        <w:t>Furthermore, in response to the Staff’s comments contained in the Staff’s letter dated July 12, 2018 on the Company’s Registration Statement, we set forth the Company’s response below. The Staff’s comment is repeated below in bold and is followed by the Company’s response.</w:t>
      </w:r>
    </w:p>
    <w:p>
      <w:pPr>
        <w:spacing w:after="0" w:line="357" w:lineRule="exact"/>
        <w:rPr>
          <w:sz w:val="24"/>
          <w:szCs w:val="24"/>
          <w:color w:val="auto"/>
        </w:rPr>
      </w:pPr>
    </w:p>
    <w:p>
      <w:pPr>
        <w:spacing w:after="0"/>
        <w:tabs>
          <w:tab w:leader="none" w:pos="980" w:val="left"/>
        </w:tabs>
        <w:rPr>
          <w:sz w:val="20"/>
          <w:szCs w:val="20"/>
          <w:color w:val="auto"/>
        </w:rPr>
      </w:pPr>
      <w:r>
        <w:rPr>
          <w:rFonts w:ascii="Arial" w:cs="Arial" w:eastAsia="Arial" w:hAnsi="Arial"/>
          <w:sz w:val="14"/>
          <w:szCs w:val="14"/>
          <w:b w:val="1"/>
          <w:bCs w:val="1"/>
          <w:color w:val="auto"/>
        </w:rPr>
        <w:t>PARTNERS:</w:t>
      </w:r>
      <w:r>
        <w:rPr>
          <w:sz w:val="20"/>
          <w:szCs w:val="20"/>
          <w:color w:val="auto"/>
        </w:rPr>
        <w:tab/>
      </w:r>
      <w:r>
        <w:rPr>
          <w:rFonts w:ascii="Arial" w:cs="Arial" w:eastAsia="Arial" w:hAnsi="Arial"/>
          <w:sz w:val="14"/>
          <w:szCs w:val="14"/>
          <w:color w:val="auto"/>
        </w:rPr>
        <w:t>Pierre-Luc Arsenault</w:t>
      </w:r>
      <w:r>
        <w:rPr>
          <w:rFonts w:ascii="Arial" w:cs="Arial" w:eastAsia="Arial" w:hAnsi="Arial"/>
          <w:sz w:val="23"/>
          <w:szCs w:val="23"/>
          <w:color w:val="auto"/>
          <w:vertAlign w:val="superscript"/>
        </w:rPr>
        <w:t>3</w:t>
      </w:r>
      <w:r>
        <w:rPr>
          <w:rFonts w:ascii="Arial" w:cs="Arial" w:eastAsia="Arial" w:hAnsi="Arial"/>
          <w:sz w:val="14"/>
          <w:szCs w:val="14"/>
          <w:color w:val="auto"/>
        </w:rPr>
        <w:t xml:space="preserve"> | Lai Yi Chau | Justin M. Dolling</w:t>
      </w:r>
      <w:r>
        <w:rPr>
          <w:rFonts w:ascii="Arial" w:cs="Arial" w:eastAsia="Arial" w:hAnsi="Arial"/>
          <w:sz w:val="23"/>
          <w:szCs w:val="23"/>
          <w:color w:val="auto"/>
          <w:vertAlign w:val="superscript"/>
        </w:rPr>
        <w:t>6</w:t>
      </w:r>
      <w:r>
        <w:rPr>
          <w:rFonts w:ascii="Arial" w:cs="Arial" w:eastAsia="Arial" w:hAnsi="Arial"/>
          <w:sz w:val="14"/>
          <w:szCs w:val="14"/>
          <w:color w:val="auto"/>
        </w:rPr>
        <w:t xml:space="preserve"> | David Patrick Eich</w:t>
      </w:r>
      <w:r>
        <w:rPr>
          <w:rFonts w:ascii="Arial" w:cs="Arial" w:eastAsia="Arial" w:hAnsi="Arial"/>
          <w:sz w:val="23"/>
          <w:szCs w:val="23"/>
          <w:color w:val="auto"/>
          <w:vertAlign w:val="superscript"/>
        </w:rPr>
        <w:t>1,5,6</w:t>
      </w:r>
      <w:r>
        <w:rPr>
          <w:rFonts w:ascii="Arial" w:cs="Arial" w:eastAsia="Arial" w:hAnsi="Arial"/>
          <w:sz w:val="14"/>
          <w:szCs w:val="14"/>
          <w:color w:val="auto"/>
        </w:rPr>
        <w:t xml:space="preserve"> | Liu Gan</w:t>
      </w:r>
      <w:r>
        <w:rPr>
          <w:rFonts w:ascii="Arial" w:cs="Arial" w:eastAsia="Arial" w:hAnsi="Arial"/>
          <w:sz w:val="23"/>
          <w:szCs w:val="23"/>
          <w:color w:val="auto"/>
          <w:vertAlign w:val="superscript"/>
        </w:rPr>
        <w:t>2</w:t>
      </w:r>
      <w:r>
        <w:rPr>
          <w:rFonts w:ascii="Arial" w:cs="Arial" w:eastAsia="Arial" w:hAnsi="Arial"/>
          <w:sz w:val="14"/>
          <w:szCs w:val="14"/>
          <w:color w:val="auto"/>
        </w:rPr>
        <w:t xml:space="preserve"> | Damian C. Jacobs</w:t>
      </w:r>
      <w:r>
        <w:rPr>
          <w:rFonts w:ascii="Arial" w:cs="Arial" w:eastAsia="Arial" w:hAnsi="Arial"/>
          <w:sz w:val="23"/>
          <w:szCs w:val="23"/>
          <w:color w:val="auto"/>
          <w:vertAlign w:val="superscript"/>
        </w:rPr>
        <w:t>6</w:t>
      </w:r>
      <w:r>
        <w:rPr>
          <w:rFonts w:ascii="Arial" w:cs="Arial" w:eastAsia="Arial" w:hAnsi="Arial"/>
          <w:sz w:val="14"/>
          <w:szCs w:val="14"/>
          <w:color w:val="auto"/>
        </w:rPr>
        <w:t xml:space="preserve"> | Guang Li</w:t>
      </w:r>
      <w:r>
        <w:rPr>
          <w:rFonts w:ascii="Arial" w:cs="Arial" w:eastAsia="Arial" w:hAnsi="Arial"/>
          <w:sz w:val="23"/>
          <w:szCs w:val="23"/>
          <w:color w:val="auto"/>
          <w:vertAlign w:val="superscript"/>
        </w:rPr>
        <w:t>3</w:t>
      </w:r>
      <w:r>
        <w:rPr>
          <w:rFonts w:ascii="Arial" w:cs="Arial" w:eastAsia="Arial" w:hAnsi="Arial"/>
          <w:sz w:val="14"/>
          <w:szCs w:val="14"/>
          <w:color w:val="auto"/>
        </w:rPr>
        <w:t xml:space="preserve"> | Neil E.M. McDonald | Kelly Naphtali |</w:t>
      </w:r>
    </w:p>
    <w:p>
      <w:pPr>
        <w:ind w:right="500"/>
        <w:spacing w:after="0" w:line="196" w:lineRule="auto"/>
        <w:rPr>
          <w:sz w:val="20"/>
          <w:szCs w:val="20"/>
          <w:color w:val="auto"/>
        </w:rPr>
      </w:pPr>
      <w:r>
        <w:rPr>
          <w:rFonts w:ascii="Arial" w:cs="Arial" w:eastAsia="Arial" w:hAnsi="Arial"/>
          <w:sz w:val="14"/>
          <w:szCs w:val="14"/>
          <w:color w:val="auto"/>
        </w:rPr>
        <w:t>Ram Narayan</w:t>
      </w:r>
      <w:r>
        <w:rPr>
          <w:rFonts w:ascii="Arial" w:cs="Arial" w:eastAsia="Arial" w:hAnsi="Arial"/>
          <w:sz w:val="23"/>
          <w:szCs w:val="23"/>
          <w:color w:val="auto"/>
          <w:vertAlign w:val="superscript"/>
        </w:rPr>
        <w:t>3</w:t>
      </w:r>
      <w:r>
        <w:rPr>
          <w:rFonts w:ascii="Arial" w:cs="Arial" w:eastAsia="Arial" w:hAnsi="Arial"/>
          <w:sz w:val="14"/>
          <w:szCs w:val="14"/>
          <w:color w:val="auto"/>
        </w:rPr>
        <w:t xml:space="preserve"> | Nicholas A. Norris</w:t>
      </w:r>
      <w:r>
        <w:rPr>
          <w:rFonts w:ascii="Arial" w:cs="Arial" w:eastAsia="Arial" w:hAnsi="Arial"/>
          <w:sz w:val="23"/>
          <w:szCs w:val="23"/>
          <w:color w:val="auto"/>
          <w:vertAlign w:val="superscript"/>
        </w:rPr>
        <w:t>6</w:t>
      </w:r>
      <w:r>
        <w:rPr>
          <w:rFonts w:ascii="Arial" w:cs="Arial" w:eastAsia="Arial" w:hAnsi="Arial"/>
          <w:sz w:val="14"/>
          <w:szCs w:val="14"/>
          <w:color w:val="auto"/>
        </w:rPr>
        <w:t xml:space="preserve"> | Derek K.W. Poon</w:t>
      </w:r>
      <w:r>
        <w:rPr>
          <w:rFonts w:ascii="Arial" w:cs="Arial" w:eastAsia="Arial" w:hAnsi="Arial"/>
          <w:sz w:val="23"/>
          <w:szCs w:val="23"/>
          <w:color w:val="auto"/>
          <w:vertAlign w:val="superscript"/>
        </w:rPr>
        <w:t>3,6</w:t>
      </w:r>
      <w:r>
        <w:rPr>
          <w:rFonts w:ascii="Arial" w:cs="Arial" w:eastAsia="Arial" w:hAnsi="Arial"/>
          <w:sz w:val="14"/>
          <w:szCs w:val="14"/>
          <w:color w:val="auto"/>
        </w:rPr>
        <w:t xml:space="preserve"> | Paul S. Quinn | Richard C.C. Sharpe | Jesse D. Sheley</w:t>
      </w:r>
      <w:r>
        <w:rPr>
          <w:rFonts w:ascii="Arial" w:cs="Arial" w:eastAsia="Arial" w:hAnsi="Arial"/>
          <w:sz w:val="23"/>
          <w:szCs w:val="23"/>
          <w:color w:val="auto"/>
          <w:vertAlign w:val="superscript"/>
        </w:rPr>
        <w:t>#</w:t>
      </w:r>
      <w:r>
        <w:rPr>
          <w:rFonts w:ascii="Arial" w:cs="Arial" w:eastAsia="Arial" w:hAnsi="Arial"/>
          <w:sz w:val="14"/>
          <w:szCs w:val="14"/>
          <w:color w:val="auto"/>
        </w:rPr>
        <w:t xml:space="preserve"> | Arthur K.H. Tso | Susan S.X. Wang | Li Chien Wong | Wanda T.K. Woo | Judy W.C. Yam | David Yun</w:t>
      </w:r>
      <w:r>
        <w:rPr>
          <w:rFonts w:ascii="Arial" w:cs="Arial" w:eastAsia="Arial" w:hAnsi="Arial"/>
          <w:sz w:val="23"/>
          <w:szCs w:val="23"/>
          <w:color w:val="auto"/>
          <w:vertAlign w:val="superscript"/>
        </w:rPr>
        <w:t>6</w:t>
      </w:r>
      <w:r>
        <w:rPr>
          <w:rFonts w:ascii="Arial" w:cs="Arial" w:eastAsia="Arial" w:hAnsi="Arial"/>
          <w:sz w:val="14"/>
          <w:szCs w:val="14"/>
          <w:color w:val="auto"/>
        </w:rPr>
        <w:t xml:space="preserve"> | Jacqueline B.N. Zheng</w:t>
      </w:r>
      <w:r>
        <w:rPr>
          <w:rFonts w:ascii="Arial" w:cs="Arial" w:eastAsia="Arial" w:hAnsi="Arial"/>
          <w:sz w:val="23"/>
          <w:szCs w:val="23"/>
          <w:color w:val="auto"/>
          <w:vertAlign w:val="superscript"/>
        </w:rPr>
        <w:t>3,6</w:t>
      </w:r>
    </w:p>
    <w:p>
      <w:pPr>
        <w:ind w:right="260"/>
        <w:spacing w:after="0" w:line="196" w:lineRule="auto"/>
        <w:rPr>
          <w:sz w:val="20"/>
          <w:szCs w:val="20"/>
          <w:color w:val="auto"/>
        </w:rPr>
      </w:pPr>
      <w:r>
        <w:rPr>
          <w:rFonts w:ascii="Arial" w:cs="Arial" w:eastAsia="Arial" w:hAnsi="Arial"/>
          <w:sz w:val="14"/>
          <w:szCs w:val="14"/>
          <w:b w:val="1"/>
          <w:bCs w:val="1"/>
          <w:color w:val="auto"/>
        </w:rPr>
        <w:t xml:space="preserve">REGISTERED FOREIGN LAWYERS: </w:t>
      </w:r>
      <w:r>
        <w:rPr>
          <w:rFonts w:ascii="Arial" w:cs="Arial" w:eastAsia="Arial" w:hAnsi="Arial"/>
          <w:sz w:val="14"/>
          <w:szCs w:val="14"/>
          <w:color w:val="auto"/>
        </w:rPr>
        <w:t>Daniel J. Abercromby</w:t>
      </w:r>
      <w:r>
        <w:rPr>
          <w:rFonts w:ascii="Arial" w:cs="Arial" w:eastAsia="Arial" w:hAnsi="Arial"/>
          <w:sz w:val="23"/>
          <w:szCs w:val="23"/>
          <w:color w:val="auto"/>
          <w:vertAlign w:val="superscript"/>
        </w:rPr>
        <w:t>6</w:t>
      </w:r>
      <w:r>
        <w:rPr>
          <w:rFonts w:ascii="Arial" w:cs="Arial" w:eastAsia="Arial" w:hAnsi="Arial"/>
          <w:sz w:val="14"/>
          <w:szCs w:val="14"/>
          <w:b w:val="1"/>
          <w:bCs w:val="1"/>
          <w:color w:val="auto"/>
        </w:rPr>
        <w:t xml:space="preserve"> </w:t>
      </w:r>
      <w:r>
        <w:rPr>
          <w:rFonts w:ascii="Arial" w:cs="Arial" w:eastAsia="Arial" w:hAnsi="Arial"/>
          <w:sz w:val="14"/>
          <w:szCs w:val="14"/>
          <w:color w:val="auto"/>
        </w:rPr>
        <w:t>| Damien Coles</w:t>
      </w:r>
      <w:r>
        <w:rPr>
          <w:rFonts w:ascii="Arial" w:cs="Arial" w:eastAsia="Arial" w:hAnsi="Arial"/>
          <w:sz w:val="23"/>
          <w:szCs w:val="23"/>
          <w:color w:val="auto"/>
          <w:vertAlign w:val="superscript"/>
        </w:rPr>
        <w:t>6</w:t>
      </w:r>
      <w:r>
        <w:rPr>
          <w:rFonts w:ascii="Arial" w:cs="Arial" w:eastAsia="Arial" w:hAnsi="Arial"/>
          <w:sz w:val="14"/>
          <w:szCs w:val="14"/>
          <w:b w:val="1"/>
          <w:bCs w:val="1"/>
          <w:color w:val="auto"/>
        </w:rPr>
        <w:t xml:space="preserve"> </w:t>
      </w:r>
      <w:r>
        <w:rPr>
          <w:rFonts w:ascii="Arial" w:cs="Arial" w:eastAsia="Arial" w:hAnsi="Arial"/>
          <w:sz w:val="14"/>
          <w:szCs w:val="14"/>
          <w:color w:val="auto"/>
        </w:rPr>
        <w:t>| Meng Ding</w:t>
      </w:r>
      <w:r>
        <w:rPr>
          <w:rFonts w:ascii="Arial" w:cs="Arial" w:eastAsia="Arial" w:hAnsi="Arial"/>
          <w:sz w:val="23"/>
          <w:szCs w:val="23"/>
          <w:color w:val="auto"/>
          <w:vertAlign w:val="superscript"/>
        </w:rPr>
        <w:t>3</w:t>
      </w:r>
      <w:r>
        <w:rPr>
          <w:rFonts w:ascii="Arial" w:cs="Arial" w:eastAsia="Arial" w:hAnsi="Arial"/>
          <w:sz w:val="14"/>
          <w:szCs w:val="14"/>
          <w:b w:val="1"/>
          <w:bCs w:val="1"/>
          <w:color w:val="auto"/>
        </w:rPr>
        <w:t xml:space="preserve"> </w:t>
      </w:r>
      <w:r>
        <w:rPr>
          <w:rFonts w:ascii="Arial" w:cs="Arial" w:eastAsia="Arial" w:hAnsi="Arial"/>
          <w:sz w:val="14"/>
          <w:szCs w:val="14"/>
          <w:color w:val="auto"/>
        </w:rPr>
        <w:t>| Daniel Dusek</w:t>
      </w:r>
      <w:r>
        <w:rPr>
          <w:rFonts w:ascii="Arial" w:cs="Arial" w:eastAsia="Arial" w:hAnsi="Arial"/>
          <w:sz w:val="23"/>
          <w:szCs w:val="23"/>
          <w:color w:val="auto"/>
          <w:vertAlign w:val="superscript"/>
        </w:rPr>
        <w:t>3</w:t>
      </w:r>
      <w:r>
        <w:rPr>
          <w:rFonts w:ascii="Arial" w:cs="Arial" w:eastAsia="Arial" w:hAnsi="Arial"/>
          <w:sz w:val="14"/>
          <w:szCs w:val="14"/>
          <w:b w:val="1"/>
          <w:bCs w:val="1"/>
          <w:color w:val="auto"/>
        </w:rPr>
        <w:t xml:space="preserve"> </w:t>
      </w:r>
      <w:r>
        <w:rPr>
          <w:rFonts w:ascii="Arial" w:cs="Arial" w:eastAsia="Arial" w:hAnsi="Arial"/>
          <w:sz w:val="14"/>
          <w:szCs w:val="14"/>
          <w:color w:val="auto"/>
        </w:rPr>
        <w:t>| David M. Irvine</w:t>
      </w:r>
      <w:r>
        <w:rPr>
          <w:rFonts w:ascii="Arial" w:cs="Arial" w:eastAsia="Arial" w:hAnsi="Arial"/>
          <w:sz w:val="23"/>
          <w:szCs w:val="23"/>
          <w:color w:val="auto"/>
          <w:vertAlign w:val="superscript"/>
        </w:rPr>
        <w:t>6</w:t>
      </w:r>
      <w:r>
        <w:rPr>
          <w:rFonts w:ascii="Arial" w:cs="Arial" w:eastAsia="Arial" w:hAnsi="Arial"/>
          <w:sz w:val="14"/>
          <w:szCs w:val="14"/>
          <w:b w:val="1"/>
          <w:bCs w:val="1"/>
          <w:color w:val="auto"/>
        </w:rPr>
        <w:t xml:space="preserve"> </w:t>
      </w:r>
      <w:r>
        <w:rPr>
          <w:rFonts w:ascii="Arial" w:cs="Arial" w:eastAsia="Arial" w:hAnsi="Arial"/>
          <w:sz w:val="14"/>
          <w:szCs w:val="14"/>
          <w:color w:val="auto"/>
        </w:rPr>
        <w:t>| Hao-Chin Jeng</w:t>
      </w:r>
      <w:r>
        <w:rPr>
          <w:rFonts w:ascii="Arial" w:cs="Arial" w:eastAsia="Arial" w:hAnsi="Arial"/>
          <w:sz w:val="23"/>
          <w:szCs w:val="23"/>
          <w:color w:val="auto"/>
          <w:vertAlign w:val="superscript"/>
        </w:rPr>
        <w:t>3</w:t>
      </w:r>
      <w:r>
        <w:rPr>
          <w:rFonts w:ascii="Arial" w:cs="Arial" w:eastAsia="Arial" w:hAnsi="Arial"/>
          <w:sz w:val="14"/>
          <w:szCs w:val="14"/>
          <w:b w:val="1"/>
          <w:bCs w:val="1"/>
          <w:color w:val="auto"/>
        </w:rPr>
        <w:t xml:space="preserve"> </w:t>
      </w:r>
      <w:r>
        <w:rPr>
          <w:rFonts w:ascii="Arial" w:cs="Arial" w:eastAsia="Arial" w:hAnsi="Arial"/>
          <w:sz w:val="14"/>
          <w:szCs w:val="14"/>
          <w:color w:val="auto"/>
        </w:rPr>
        <w:t>| Benjamin W. James</w:t>
      </w:r>
      <w:r>
        <w:rPr>
          <w:rFonts w:ascii="Arial" w:cs="Arial" w:eastAsia="Arial" w:hAnsi="Arial"/>
          <w:sz w:val="23"/>
          <w:szCs w:val="23"/>
          <w:color w:val="auto"/>
          <w:vertAlign w:val="superscript"/>
        </w:rPr>
        <w:t>4</w:t>
      </w:r>
      <w:r>
        <w:rPr>
          <w:rFonts w:ascii="Arial" w:cs="Arial" w:eastAsia="Arial" w:hAnsi="Arial"/>
          <w:sz w:val="14"/>
          <w:szCs w:val="14"/>
          <w:b w:val="1"/>
          <w:bCs w:val="1"/>
          <w:color w:val="auto"/>
        </w:rPr>
        <w:t xml:space="preserve"> </w:t>
      </w:r>
      <w:r>
        <w:rPr>
          <w:rFonts w:ascii="Arial" w:cs="Arial" w:eastAsia="Arial" w:hAnsi="Arial"/>
          <w:sz w:val="14"/>
          <w:szCs w:val="14"/>
          <w:color w:val="auto"/>
        </w:rPr>
        <w:t>| Cori A. Lable</w:t>
      </w:r>
      <w:r>
        <w:rPr>
          <w:rFonts w:ascii="Arial" w:cs="Arial" w:eastAsia="Arial" w:hAnsi="Arial"/>
          <w:sz w:val="23"/>
          <w:szCs w:val="23"/>
          <w:color w:val="auto"/>
          <w:vertAlign w:val="superscript"/>
        </w:rPr>
        <w:t>2</w:t>
      </w:r>
      <w:r>
        <w:rPr>
          <w:rFonts w:ascii="Arial" w:cs="Arial" w:eastAsia="Arial" w:hAnsi="Arial"/>
          <w:sz w:val="14"/>
          <w:szCs w:val="14"/>
          <w:b w:val="1"/>
          <w:bCs w:val="1"/>
          <w:color w:val="auto"/>
        </w:rPr>
        <w:t xml:space="preserve"> </w:t>
      </w:r>
      <w:r>
        <w:rPr>
          <w:rFonts w:ascii="Arial" w:cs="Arial" w:eastAsia="Arial" w:hAnsi="Arial"/>
          <w:sz w:val="14"/>
          <w:szCs w:val="14"/>
          <w:color w:val="auto"/>
        </w:rPr>
        <w:t>|</w:t>
      </w:r>
      <w:r>
        <w:rPr>
          <w:rFonts w:ascii="Arial" w:cs="Arial" w:eastAsia="Arial" w:hAnsi="Arial"/>
          <w:sz w:val="14"/>
          <w:szCs w:val="14"/>
          <w:b w:val="1"/>
          <w:bCs w:val="1"/>
          <w:color w:val="auto"/>
        </w:rPr>
        <w:t xml:space="preserve"> </w:t>
      </w:r>
      <w:r>
        <w:rPr>
          <w:rFonts w:ascii="Arial" w:cs="Arial" w:eastAsia="Arial" w:hAnsi="Arial"/>
          <w:sz w:val="14"/>
          <w:szCs w:val="14"/>
          <w:color w:val="auto"/>
        </w:rPr>
        <w:t>Xiaoxi Lin</w:t>
      </w:r>
      <w:r>
        <w:rPr>
          <w:rFonts w:ascii="Arial" w:cs="Arial" w:eastAsia="Arial" w:hAnsi="Arial"/>
          <w:sz w:val="23"/>
          <w:szCs w:val="23"/>
          <w:color w:val="auto"/>
          <w:vertAlign w:val="superscript"/>
        </w:rPr>
        <w:t>3</w:t>
      </w:r>
      <w:r>
        <w:rPr>
          <w:rFonts w:ascii="Arial" w:cs="Arial" w:eastAsia="Arial" w:hAnsi="Arial"/>
          <w:sz w:val="14"/>
          <w:szCs w:val="14"/>
          <w:color w:val="auto"/>
        </w:rPr>
        <w:t xml:space="preserve"> | Daniel R. Lindsey</w:t>
      </w:r>
      <w:r>
        <w:rPr>
          <w:rFonts w:ascii="Arial" w:cs="Arial" w:eastAsia="Arial" w:hAnsi="Arial"/>
          <w:sz w:val="23"/>
          <w:szCs w:val="23"/>
          <w:color w:val="auto"/>
          <w:vertAlign w:val="superscript"/>
        </w:rPr>
        <w:t>6</w:t>
      </w:r>
      <w:r>
        <w:rPr>
          <w:rFonts w:ascii="Arial" w:cs="Arial" w:eastAsia="Arial" w:hAnsi="Arial"/>
          <w:sz w:val="14"/>
          <w:szCs w:val="14"/>
          <w:color w:val="auto"/>
        </w:rPr>
        <w:t xml:space="preserve"> | Daniel A. Margulies</w:t>
      </w:r>
      <w:r>
        <w:rPr>
          <w:rFonts w:ascii="Arial" w:cs="Arial" w:eastAsia="Arial" w:hAnsi="Arial"/>
          <w:sz w:val="23"/>
          <w:szCs w:val="23"/>
          <w:color w:val="auto"/>
          <w:vertAlign w:val="superscript"/>
        </w:rPr>
        <w:t>6</w:t>
      </w:r>
      <w:r>
        <w:rPr>
          <w:rFonts w:ascii="Arial" w:cs="Arial" w:eastAsia="Arial" w:hAnsi="Arial"/>
          <w:sz w:val="14"/>
          <w:szCs w:val="14"/>
          <w:color w:val="auto"/>
        </w:rPr>
        <w:t xml:space="preserve"> | Peng Qi</w:t>
      </w:r>
      <w:r>
        <w:rPr>
          <w:rFonts w:ascii="Arial" w:cs="Arial" w:eastAsia="Arial" w:hAnsi="Arial"/>
          <w:sz w:val="23"/>
          <w:szCs w:val="23"/>
          <w:color w:val="auto"/>
          <w:vertAlign w:val="superscript"/>
        </w:rPr>
        <w:t>3</w:t>
      </w:r>
      <w:r>
        <w:rPr>
          <w:rFonts w:ascii="Arial" w:cs="Arial" w:eastAsia="Arial" w:hAnsi="Arial"/>
          <w:sz w:val="14"/>
          <w:szCs w:val="14"/>
          <w:color w:val="auto"/>
        </w:rPr>
        <w:t xml:space="preserve"> | Robert P.H. Sandes</w:t>
      </w:r>
      <w:r>
        <w:rPr>
          <w:rFonts w:ascii="Arial" w:cs="Arial" w:eastAsia="Arial" w:hAnsi="Arial"/>
          <w:sz w:val="23"/>
          <w:szCs w:val="23"/>
          <w:color w:val="auto"/>
          <w:vertAlign w:val="superscript"/>
        </w:rPr>
        <w:t>6</w:t>
      </w:r>
      <w:r>
        <w:rPr>
          <w:rFonts w:ascii="Arial" w:cs="Arial" w:eastAsia="Arial" w:hAnsi="Arial"/>
          <w:sz w:val="14"/>
          <w:szCs w:val="14"/>
          <w:color w:val="auto"/>
        </w:rPr>
        <w:t xml:space="preserve"> | Wenchen Tang</w:t>
      </w:r>
      <w:r>
        <w:rPr>
          <w:rFonts w:ascii="Arial" w:cs="Arial" w:eastAsia="Arial" w:hAnsi="Arial"/>
          <w:sz w:val="23"/>
          <w:szCs w:val="23"/>
          <w:color w:val="auto"/>
          <w:vertAlign w:val="superscript"/>
        </w:rPr>
        <w:t>3</w:t>
      </w:r>
      <w:r>
        <w:rPr>
          <w:rFonts w:ascii="Arial" w:cs="Arial" w:eastAsia="Arial" w:hAnsi="Arial"/>
          <w:sz w:val="14"/>
          <w:szCs w:val="14"/>
          <w:color w:val="auto"/>
        </w:rPr>
        <w:t xml:space="preserve"> | Xiaoyao Yin</w:t>
      </w:r>
      <w:r>
        <w:rPr>
          <w:rFonts w:ascii="Arial" w:cs="Arial" w:eastAsia="Arial" w:hAnsi="Arial"/>
          <w:sz w:val="23"/>
          <w:szCs w:val="23"/>
          <w:color w:val="auto"/>
          <w:vertAlign w:val="superscript"/>
        </w:rPr>
        <w:t>3</w:t>
      </w:r>
      <w:r>
        <w:rPr>
          <w:rFonts w:ascii="Arial" w:cs="Arial" w:eastAsia="Arial" w:hAnsi="Arial"/>
          <w:sz w:val="14"/>
          <w:szCs w:val="14"/>
          <w:color w:val="auto"/>
        </w:rPr>
        <w:t xml:space="preserve"> | David Zhang</w:t>
      </w:r>
      <w:r>
        <w:rPr>
          <w:rFonts w:ascii="Arial" w:cs="Arial" w:eastAsia="Arial" w:hAnsi="Arial"/>
          <w:sz w:val="23"/>
          <w:szCs w:val="23"/>
          <w:color w:val="auto"/>
          <w:vertAlign w:val="superscript"/>
        </w:rPr>
        <w:t>3</w:t>
      </w:r>
      <w:r>
        <w:rPr>
          <w:rFonts w:ascii="Arial" w:cs="Arial" w:eastAsia="Arial" w:hAnsi="Arial"/>
          <w:sz w:val="14"/>
          <w:szCs w:val="14"/>
          <w:color w:val="auto"/>
        </w:rPr>
        <w:t xml:space="preserve"> | Yue Zhang</w:t>
      </w:r>
      <w:r>
        <w:rPr>
          <w:rFonts w:ascii="Arial" w:cs="Arial" w:eastAsia="Arial" w:hAnsi="Arial"/>
          <w:sz w:val="23"/>
          <w:szCs w:val="23"/>
          <w:color w:val="auto"/>
          <w:vertAlign w:val="superscript"/>
        </w:rPr>
        <w:t>3</w:t>
      </w:r>
    </w:p>
    <w:p>
      <w:pPr>
        <w:spacing w:after="0" w:line="188" w:lineRule="auto"/>
        <w:tabs>
          <w:tab w:leader="none" w:pos="1200" w:val="left"/>
        </w:tabs>
        <w:rPr>
          <w:sz w:val="20"/>
          <w:szCs w:val="20"/>
          <w:color w:val="auto"/>
        </w:rPr>
      </w:pPr>
      <w:r>
        <w:rPr>
          <w:rFonts w:ascii="Arial" w:cs="Arial" w:eastAsia="Arial" w:hAnsi="Arial"/>
          <w:sz w:val="14"/>
          <w:szCs w:val="14"/>
          <w:b w:val="1"/>
          <w:bCs w:val="1"/>
          <w:color w:val="auto"/>
        </w:rPr>
        <w:t>ADMITTED IN:</w:t>
      </w:r>
      <w:r>
        <w:rPr>
          <w:sz w:val="20"/>
          <w:szCs w:val="20"/>
          <w:color w:val="auto"/>
        </w:rPr>
        <w:tab/>
      </w:r>
      <w:r>
        <w:rPr>
          <w:rFonts w:ascii="Arial" w:cs="Arial" w:eastAsia="Arial" w:hAnsi="Arial"/>
          <w:sz w:val="21"/>
          <w:szCs w:val="21"/>
          <w:color w:val="auto"/>
          <w:vertAlign w:val="superscript"/>
        </w:rPr>
        <w:t xml:space="preserve">1 </w:t>
      </w:r>
      <w:r>
        <w:rPr>
          <w:rFonts w:ascii="Arial" w:cs="Arial" w:eastAsia="Arial" w:hAnsi="Arial"/>
          <w:sz w:val="12"/>
          <w:szCs w:val="12"/>
          <w:color w:val="auto"/>
        </w:rPr>
        <w:t>State of Illinois (U.S.A.);</w:t>
      </w:r>
      <w:r>
        <w:rPr>
          <w:rFonts w:ascii="Arial" w:cs="Arial" w:eastAsia="Arial" w:hAnsi="Arial"/>
          <w:sz w:val="21"/>
          <w:szCs w:val="21"/>
          <w:color w:val="auto"/>
        </w:rPr>
        <w:t xml:space="preserve"> </w:t>
      </w:r>
      <w:r>
        <w:rPr>
          <w:rFonts w:ascii="Arial" w:cs="Arial" w:eastAsia="Arial" w:hAnsi="Arial"/>
          <w:sz w:val="21"/>
          <w:szCs w:val="21"/>
          <w:color w:val="auto"/>
          <w:vertAlign w:val="superscript"/>
        </w:rPr>
        <w:t>2</w:t>
      </w:r>
      <w:r>
        <w:rPr>
          <w:rFonts w:ascii="Arial" w:cs="Arial" w:eastAsia="Arial" w:hAnsi="Arial"/>
          <w:sz w:val="21"/>
          <w:szCs w:val="21"/>
          <w:color w:val="auto"/>
        </w:rPr>
        <w:t xml:space="preserve"> </w:t>
      </w:r>
      <w:r>
        <w:rPr>
          <w:rFonts w:ascii="Arial" w:cs="Arial" w:eastAsia="Arial" w:hAnsi="Arial"/>
          <w:sz w:val="12"/>
          <w:szCs w:val="12"/>
          <w:color w:val="auto"/>
        </w:rPr>
        <w:t>Commonwealth of Massachusetts (U.S.A.);</w:t>
      </w:r>
      <w:r>
        <w:rPr>
          <w:rFonts w:ascii="Arial" w:cs="Arial" w:eastAsia="Arial" w:hAnsi="Arial"/>
          <w:sz w:val="21"/>
          <w:szCs w:val="21"/>
          <w:color w:val="auto"/>
        </w:rPr>
        <w:t xml:space="preserve"> </w:t>
      </w:r>
      <w:r>
        <w:rPr>
          <w:rFonts w:ascii="Arial" w:cs="Arial" w:eastAsia="Arial" w:hAnsi="Arial"/>
          <w:sz w:val="21"/>
          <w:szCs w:val="21"/>
          <w:color w:val="auto"/>
          <w:vertAlign w:val="superscript"/>
        </w:rPr>
        <w:t>3</w:t>
      </w:r>
      <w:r>
        <w:rPr>
          <w:rFonts w:ascii="Arial" w:cs="Arial" w:eastAsia="Arial" w:hAnsi="Arial"/>
          <w:sz w:val="21"/>
          <w:szCs w:val="21"/>
          <w:color w:val="auto"/>
        </w:rPr>
        <w:t xml:space="preserve"> </w:t>
      </w:r>
      <w:r>
        <w:rPr>
          <w:rFonts w:ascii="Arial" w:cs="Arial" w:eastAsia="Arial" w:hAnsi="Arial"/>
          <w:sz w:val="12"/>
          <w:szCs w:val="12"/>
          <w:color w:val="auto"/>
        </w:rPr>
        <w:t>State of New York (U.S.A.);</w:t>
      </w:r>
      <w:r>
        <w:rPr>
          <w:rFonts w:ascii="Arial" w:cs="Arial" w:eastAsia="Arial" w:hAnsi="Arial"/>
          <w:sz w:val="21"/>
          <w:szCs w:val="21"/>
          <w:color w:val="auto"/>
        </w:rPr>
        <w:t xml:space="preserve"> </w:t>
      </w:r>
      <w:r>
        <w:rPr>
          <w:rFonts w:ascii="Arial" w:cs="Arial" w:eastAsia="Arial" w:hAnsi="Arial"/>
          <w:sz w:val="21"/>
          <w:szCs w:val="21"/>
          <w:color w:val="auto"/>
          <w:vertAlign w:val="superscript"/>
        </w:rPr>
        <w:t>4</w:t>
      </w:r>
      <w:r>
        <w:rPr>
          <w:rFonts w:ascii="Arial" w:cs="Arial" w:eastAsia="Arial" w:hAnsi="Arial"/>
          <w:sz w:val="21"/>
          <w:szCs w:val="21"/>
          <w:color w:val="auto"/>
        </w:rPr>
        <w:t xml:space="preserve"> </w:t>
      </w:r>
      <w:r>
        <w:rPr>
          <w:rFonts w:ascii="Arial" w:cs="Arial" w:eastAsia="Arial" w:hAnsi="Arial"/>
          <w:sz w:val="12"/>
          <w:szCs w:val="12"/>
          <w:color w:val="auto"/>
        </w:rPr>
        <w:t>State of Texas (U.S.A.);</w:t>
      </w:r>
      <w:r>
        <w:rPr>
          <w:rFonts w:ascii="Arial" w:cs="Arial" w:eastAsia="Arial" w:hAnsi="Arial"/>
          <w:sz w:val="21"/>
          <w:szCs w:val="21"/>
          <w:color w:val="auto"/>
        </w:rPr>
        <w:t xml:space="preserve"> </w:t>
      </w:r>
      <w:r>
        <w:rPr>
          <w:rFonts w:ascii="Arial" w:cs="Arial" w:eastAsia="Arial" w:hAnsi="Arial"/>
          <w:sz w:val="21"/>
          <w:szCs w:val="21"/>
          <w:color w:val="auto"/>
          <w:vertAlign w:val="superscript"/>
        </w:rPr>
        <w:t>5</w:t>
      </w:r>
      <w:r>
        <w:rPr>
          <w:rFonts w:ascii="Arial" w:cs="Arial" w:eastAsia="Arial" w:hAnsi="Arial"/>
          <w:sz w:val="21"/>
          <w:szCs w:val="21"/>
          <w:color w:val="auto"/>
        </w:rPr>
        <w:t xml:space="preserve"> </w:t>
      </w:r>
      <w:r>
        <w:rPr>
          <w:rFonts w:ascii="Arial" w:cs="Arial" w:eastAsia="Arial" w:hAnsi="Arial"/>
          <w:sz w:val="12"/>
          <w:szCs w:val="12"/>
          <w:color w:val="auto"/>
        </w:rPr>
        <w:t>State of Wisconsin (U.S.A.);</w:t>
      </w:r>
    </w:p>
    <w:p>
      <w:pPr>
        <w:ind w:left="100" w:hanging="92"/>
        <w:spacing w:after="0" w:line="204" w:lineRule="auto"/>
        <w:tabs>
          <w:tab w:leader="none" w:pos="100" w:val="left"/>
        </w:tabs>
        <w:numPr>
          <w:ilvl w:val="0"/>
          <w:numId w:val="1"/>
        </w:numPr>
        <w:rPr>
          <w:rFonts w:ascii="Arial" w:cs="Arial" w:eastAsia="Arial" w:hAnsi="Arial"/>
          <w:sz w:val="24"/>
          <w:szCs w:val="24"/>
          <w:color w:val="auto"/>
          <w:vertAlign w:val="superscript"/>
        </w:rPr>
      </w:pPr>
      <w:r>
        <w:rPr>
          <w:rFonts w:ascii="Arial" w:cs="Arial" w:eastAsia="Arial" w:hAnsi="Arial"/>
          <w:sz w:val="14"/>
          <w:szCs w:val="14"/>
          <w:color w:val="auto"/>
        </w:rPr>
        <w:t xml:space="preserve">England and Wales; </w:t>
      </w:r>
      <w:r>
        <w:rPr>
          <w:rFonts w:ascii="Arial" w:cs="Arial" w:eastAsia="Arial" w:hAnsi="Arial"/>
          <w:sz w:val="23"/>
          <w:szCs w:val="23"/>
          <w:color w:val="auto"/>
          <w:vertAlign w:val="superscript"/>
        </w:rPr>
        <w:t>#</w:t>
      </w:r>
      <w:r>
        <w:rPr>
          <w:rFonts w:ascii="Arial" w:cs="Arial" w:eastAsia="Arial" w:hAnsi="Arial"/>
          <w:sz w:val="14"/>
          <w:szCs w:val="14"/>
          <w:color w:val="auto"/>
        </w:rPr>
        <w:t xml:space="preserve"> non-resident</w:t>
      </w:r>
    </w:p>
    <w:p>
      <w:pPr>
        <w:spacing w:after="0" w:line="1" w:lineRule="exact"/>
        <w:rPr>
          <w:sz w:val="24"/>
          <w:szCs w:val="24"/>
          <w:color w:val="auto"/>
        </w:rPr>
      </w:pPr>
    </w:p>
    <w:p>
      <w:pPr>
        <w:spacing w:after="0"/>
        <w:tabs>
          <w:tab w:leader="none" w:pos="560" w:val="left"/>
          <w:tab w:leader="none" w:pos="1100" w:val="left"/>
          <w:tab w:leader="none" w:pos="1740" w:val="left"/>
          <w:tab w:leader="none" w:pos="2360" w:val="left"/>
          <w:tab w:leader="none" w:pos="2960" w:val="left"/>
          <w:tab w:leader="none" w:pos="3820" w:val="left"/>
          <w:tab w:leader="none" w:pos="4400" w:val="left"/>
          <w:tab w:leader="none" w:pos="5140" w:val="left"/>
          <w:tab w:leader="none" w:pos="5820" w:val="left"/>
          <w:tab w:leader="none" w:pos="6780" w:val="left"/>
          <w:tab w:leader="none" w:pos="7440" w:val="left"/>
        </w:tabs>
        <w:rPr>
          <w:sz w:val="20"/>
          <w:szCs w:val="20"/>
          <w:color w:val="auto"/>
        </w:rPr>
      </w:pPr>
      <w:r>
        <w:rPr>
          <w:rFonts w:ascii="Arial" w:cs="Arial" w:eastAsia="Arial" w:hAnsi="Arial"/>
          <w:sz w:val="14"/>
          <w:szCs w:val="14"/>
          <w:color w:val="auto"/>
        </w:rPr>
        <w:t>Beijing</w:t>
        <w:tab/>
        <w:t>Boston</w:t>
        <w:tab/>
        <w:t>Chicago</w:t>
        <w:tab/>
        <w:t>Houston</w:t>
        <w:tab/>
        <w:t>London</w:t>
        <w:tab/>
        <w:t>Los Angeles</w:t>
        <w:tab/>
        <w:t>Munich</w:t>
        <w:tab/>
        <w:t>New York</w:t>
        <w:tab/>
        <w:t>Palo Alto</w:t>
        <w:tab/>
        <w:t>San Francisco</w:t>
        <w:tab/>
        <w:t>Shanghai</w:t>
      </w:r>
      <w:r>
        <w:rPr>
          <w:sz w:val="20"/>
          <w:szCs w:val="20"/>
          <w:color w:val="auto"/>
        </w:rPr>
        <w:tab/>
      </w:r>
      <w:r>
        <w:rPr>
          <w:rFonts w:ascii="Arial" w:cs="Arial" w:eastAsia="Arial" w:hAnsi="Arial"/>
          <w:sz w:val="13"/>
          <w:szCs w:val="13"/>
          <w:color w:val="auto"/>
        </w:rPr>
        <w:t>Washington, D.C.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133350</wp:posOffset>
            </wp:positionV>
            <wp:extent cx="72466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11400"/>
          </w:cols>
          <w:pgMar w:left="240" w:top="1314" w:right="259" w:bottom="1440" w:gutter="0" w:footer="0" w:header="0"/>
          <w:type w:val="continuous"/>
        </w:sectPr>
      </w:pPr>
    </w:p>
    <w:bookmarkStart w:id="1" w:name="page2"/>
    <w:bookmarkEnd w:id="1"/>
    <w:p>
      <w:pPr>
        <w:spacing w:after="0"/>
        <w:rPr>
          <w:sz w:val="20"/>
          <w:szCs w:val="20"/>
          <w:color w:val="auto"/>
        </w:rPr>
      </w:pPr>
      <w:r>
        <w:rPr>
          <w:rFonts w:ascii="Arial" w:cs="Arial" w:eastAsia="Arial" w:hAnsi="Arial"/>
          <w:sz w:val="18"/>
          <w:szCs w:val="18"/>
          <w:color w:val="auto"/>
        </w:rPr>
        <w:drawing>
          <wp:anchor simplePos="0" relativeHeight="251657728" behindDoc="1" locked="0" layoutInCell="0" allowOverlap="1">
            <wp:simplePos x="0" y="0"/>
            <wp:positionH relativeFrom="page">
              <wp:posOffset>2601595</wp:posOffset>
            </wp:positionH>
            <wp:positionV relativeFrom="page">
              <wp:posOffset>226060</wp:posOffset>
            </wp:positionV>
            <wp:extent cx="2358390" cy="2228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2358390" cy="222885"/>
                    </a:xfrm>
                    <a:prstGeom prst="rect">
                      <a:avLst/>
                    </a:prstGeom>
                    <a:noFill/>
                  </pic:spPr>
                </pic:pic>
              </a:graphicData>
            </a:graphic>
          </wp:anchor>
        </w:drawing>
        <w:t>Office of Information</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color w:val="auto"/>
        </w:rPr>
        <w:t>Technologies and Services</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July 13, 2018</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Page 2</w:t>
      </w:r>
    </w:p>
    <w:p>
      <w:pPr>
        <w:spacing w:after="0" w:line="200" w:lineRule="exact"/>
        <w:rPr>
          <w:sz w:val="20"/>
          <w:szCs w:val="20"/>
          <w:color w:val="auto"/>
        </w:rPr>
      </w:pPr>
    </w:p>
    <w:p>
      <w:pPr>
        <w:spacing w:after="0" w:line="227"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Form F-1 filed June 29, 2018</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Enforceability of Civil Liabilities, page 48</w:t>
      </w:r>
    </w:p>
    <w:p>
      <w:pPr>
        <w:spacing w:after="0" w:line="225" w:lineRule="exact"/>
        <w:rPr>
          <w:sz w:val="20"/>
          <w:szCs w:val="20"/>
          <w:color w:val="auto"/>
        </w:rPr>
      </w:pPr>
    </w:p>
    <w:p>
      <w:pPr>
        <w:ind w:left="340" w:right="60" w:hanging="332"/>
        <w:spacing w:after="0" w:line="293" w:lineRule="auto"/>
        <w:tabs>
          <w:tab w:leader="none" w:pos="340" w:val="left"/>
        </w:tabs>
        <w:numPr>
          <w:ilvl w:val="0"/>
          <w:numId w:val="2"/>
        </w:numPr>
        <w:rPr>
          <w:rFonts w:ascii="Arial" w:cs="Arial" w:eastAsia="Arial" w:hAnsi="Arial"/>
          <w:sz w:val="16"/>
          <w:szCs w:val="16"/>
          <w:color w:val="auto"/>
        </w:rPr>
      </w:pPr>
      <w:r>
        <w:rPr>
          <w:rFonts w:ascii="Arial" w:cs="Arial" w:eastAsia="Arial" w:hAnsi="Arial"/>
          <w:sz w:val="16"/>
          <w:szCs w:val="16"/>
          <w:b w:val="1"/>
          <w:bCs w:val="1"/>
          <w:i w:val="1"/>
          <w:iCs w:val="1"/>
          <w:color w:val="auto"/>
        </w:rPr>
        <w:t>You state that your constitutional documents do not contain provisions requiring that disputes, including those arising under the securities laws of the United States, between Opera, your executive officers, directors and shareholders, be subject to arbitration. However, we note language in exhibits 10.8-10.10 (Subscription Agreements) filed with this F-1 relating to arbitration. Please revise your disclosure in the registration statement to state, if true, that the arbitration provisions relate to the claims arising out of the contractual relationship created by the Subscription Agreements, rather than claims under the United States federal securities laws and do not prevent shareholders of the company who are parties to the agreement from pursuing claims under the United States federal securities laws.</w:t>
      </w:r>
    </w:p>
    <w:p>
      <w:pPr>
        <w:spacing w:after="0" w:line="165" w:lineRule="exact"/>
        <w:rPr>
          <w:sz w:val="20"/>
          <w:szCs w:val="20"/>
          <w:color w:val="auto"/>
        </w:rPr>
      </w:pPr>
    </w:p>
    <w:p>
      <w:pPr>
        <w:ind w:left="340"/>
        <w:spacing w:after="0"/>
        <w:rPr>
          <w:sz w:val="20"/>
          <w:szCs w:val="20"/>
          <w:color w:val="auto"/>
        </w:rPr>
      </w:pPr>
      <w:r>
        <w:rPr>
          <w:rFonts w:ascii="Arial" w:cs="Arial" w:eastAsia="Arial" w:hAnsi="Arial"/>
          <w:sz w:val="18"/>
          <w:szCs w:val="18"/>
          <w:color w:val="auto"/>
        </w:rPr>
        <w:t>In response to the staff’s comment, the Company has revised the disclosure on page 48 of the Amended Registration Statement.</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Management's Discussion and Analysis</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Results of Operations, page 68</w:t>
      </w:r>
    </w:p>
    <w:p>
      <w:pPr>
        <w:spacing w:after="0" w:line="211" w:lineRule="exact"/>
        <w:rPr>
          <w:sz w:val="20"/>
          <w:szCs w:val="20"/>
          <w:color w:val="auto"/>
        </w:rPr>
      </w:pPr>
    </w:p>
    <w:p>
      <w:pPr>
        <w:ind w:left="340" w:right="80" w:hanging="332"/>
        <w:spacing w:after="0" w:line="264" w:lineRule="auto"/>
        <w:tabs>
          <w:tab w:leader="none" w:pos="340" w:val="left"/>
        </w:tabs>
        <w:numPr>
          <w:ilvl w:val="0"/>
          <w:numId w:val="3"/>
        </w:numPr>
        <w:rPr>
          <w:rFonts w:ascii="Arial" w:cs="Arial" w:eastAsia="Arial" w:hAnsi="Arial"/>
          <w:sz w:val="18"/>
          <w:szCs w:val="18"/>
          <w:color w:val="auto"/>
        </w:rPr>
      </w:pPr>
      <w:r>
        <w:rPr>
          <w:rFonts w:ascii="Arial" w:cs="Arial" w:eastAsia="Arial" w:hAnsi="Arial"/>
          <w:sz w:val="18"/>
          <w:szCs w:val="18"/>
          <w:b w:val="1"/>
          <w:bCs w:val="1"/>
          <w:i w:val="1"/>
          <w:iCs w:val="1"/>
          <w:color w:val="auto"/>
        </w:rPr>
        <w:t>You introduce the terms "high-ARPU markets" and "high-ARPU Western markets." Please define these terms and identify the countries encompassed within these markets. Further, in Note 4 (Revenue by customer location) on page F-22, please provide more context for the category of "Other," particularly given the significance of high-ARPU Western markets to overall revenue.</w:t>
      </w:r>
    </w:p>
    <w:p>
      <w:pPr>
        <w:spacing w:after="0" w:line="181" w:lineRule="exact"/>
        <w:rPr>
          <w:rFonts w:ascii="Arial" w:cs="Arial" w:eastAsia="Arial" w:hAnsi="Arial"/>
          <w:sz w:val="18"/>
          <w:szCs w:val="18"/>
          <w:color w:val="auto"/>
        </w:rPr>
      </w:pPr>
    </w:p>
    <w:p>
      <w:pPr>
        <w:ind w:left="340" w:right="220"/>
        <w:spacing w:after="0" w:line="277" w:lineRule="auto"/>
        <w:rPr>
          <w:rFonts w:ascii="Arial" w:cs="Arial" w:eastAsia="Arial" w:hAnsi="Arial"/>
          <w:sz w:val="18"/>
          <w:szCs w:val="18"/>
          <w:color w:val="auto"/>
        </w:rPr>
      </w:pPr>
      <w:r>
        <w:rPr>
          <w:rFonts w:ascii="Arial" w:cs="Arial" w:eastAsia="Arial" w:hAnsi="Arial"/>
          <w:sz w:val="18"/>
          <w:szCs w:val="18"/>
          <w:color w:val="auto"/>
        </w:rPr>
        <w:t>In response to the staff’s comments, the Company has revised the disclosure on pages 69 and 71 of the Amended Registration Statement to clarify that high-ARPU markets and high-ARPU Western markets both refer to Europe and the United States.</w:t>
      </w:r>
    </w:p>
    <w:p>
      <w:pPr>
        <w:spacing w:after="0" w:line="170" w:lineRule="exact"/>
        <w:rPr>
          <w:rFonts w:ascii="Arial" w:cs="Arial" w:eastAsia="Arial" w:hAnsi="Arial"/>
          <w:sz w:val="18"/>
          <w:szCs w:val="18"/>
          <w:color w:val="auto"/>
        </w:rPr>
      </w:pPr>
    </w:p>
    <w:p>
      <w:pPr>
        <w:ind w:left="340"/>
        <w:spacing w:after="0" w:line="257" w:lineRule="auto"/>
        <w:rPr>
          <w:rFonts w:ascii="Arial" w:cs="Arial" w:eastAsia="Arial" w:hAnsi="Arial"/>
          <w:sz w:val="18"/>
          <w:szCs w:val="18"/>
          <w:color w:val="auto"/>
        </w:rPr>
      </w:pPr>
      <w:r>
        <w:rPr>
          <w:rFonts w:ascii="Arial" w:cs="Arial" w:eastAsia="Arial" w:hAnsi="Arial"/>
          <w:sz w:val="18"/>
          <w:szCs w:val="18"/>
          <w:color w:val="auto"/>
        </w:rPr>
        <w:t>Further, the Company respectfully submits that our operating revenue by country merely reflects the country of domicile for our direct source of revenues from our monetization partners, which is not necessarily an indication of where user activity occurs. Our operating revenue generated from Ireland and Russia in 2016, 2017 and the three months ended March 31, 2018 was contributed by user activities worldwide, including users located in Europe and the United States. The Company confirms that no other country exceeded 10% of our total operating revenues in 2016, 2017 and the three months ended March 31, 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266065</wp:posOffset>
            </wp:positionV>
            <wp:extent cx="724662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11400"/>
          </w:cols>
          <w:pgMar w:left="240" w:top="1125" w:right="259" w:bottom="1440" w:gutter="0" w:footer="0" w:header="0"/>
        </w:sectPr>
      </w:pPr>
    </w:p>
    <w:bookmarkStart w:id="2" w:name="page3"/>
    <w:bookmarkEnd w:id="2"/>
    <w:p>
      <w:pPr>
        <w:spacing w:after="0"/>
        <w:rPr>
          <w:sz w:val="20"/>
          <w:szCs w:val="20"/>
          <w:color w:val="auto"/>
        </w:rPr>
      </w:pPr>
      <w:r>
        <w:rPr>
          <w:rFonts w:ascii="Arial" w:cs="Arial" w:eastAsia="Arial" w:hAnsi="Arial"/>
          <w:sz w:val="18"/>
          <w:szCs w:val="18"/>
          <w:color w:val="auto"/>
        </w:rPr>
        <w:drawing>
          <wp:anchor simplePos="0" relativeHeight="251657728" behindDoc="1" locked="0" layoutInCell="0" allowOverlap="1">
            <wp:simplePos x="0" y="0"/>
            <wp:positionH relativeFrom="page">
              <wp:posOffset>2601595</wp:posOffset>
            </wp:positionH>
            <wp:positionV relativeFrom="page">
              <wp:posOffset>226060</wp:posOffset>
            </wp:positionV>
            <wp:extent cx="2358390" cy="2228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2358390" cy="222885"/>
                    </a:xfrm>
                    <a:prstGeom prst="rect">
                      <a:avLst/>
                    </a:prstGeom>
                    <a:noFill/>
                  </pic:spPr>
                </pic:pic>
              </a:graphicData>
            </a:graphic>
          </wp:anchor>
        </w:drawing>
        <w:t>Office of Information</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color w:val="auto"/>
        </w:rPr>
        <w:t>Technologies and Services</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July 13, 2018</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Page 3</w:t>
      </w:r>
    </w:p>
    <w:p>
      <w:pPr>
        <w:spacing w:after="0" w:line="211"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Business, page 85</w:t>
      </w:r>
    </w:p>
    <w:p>
      <w:pPr>
        <w:spacing w:after="0" w:line="221" w:lineRule="exact"/>
        <w:rPr>
          <w:sz w:val="20"/>
          <w:szCs w:val="20"/>
          <w:color w:val="auto"/>
        </w:rPr>
      </w:pPr>
    </w:p>
    <w:p>
      <w:pPr>
        <w:ind w:left="340" w:right="360" w:hanging="332"/>
        <w:spacing w:after="0" w:line="347" w:lineRule="auto"/>
        <w:tabs>
          <w:tab w:leader="none" w:pos="340" w:val="left"/>
        </w:tabs>
        <w:numPr>
          <w:ilvl w:val="0"/>
          <w:numId w:val="4"/>
        </w:numPr>
        <w:rPr>
          <w:rFonts w:ascii="Arial" w:cs="Arial" w:eastAsia="Arial" w:hAnsi="Arial"/>
          <w:sz w:val="16"/>
          <w:szCs w:val="16"/>
          <w:color w:val="auto"/>
        </w:rPr>
      </w:pPr>
      <w:r>
        <w:rPr>
          <w:rFonts w:ascii="Arial" w:cs="Arial" w:eastAsia="Arial" w:hAnsi="Arial"/>
          <w:sz w:val="16"/>
          <w:szCs w:val="16"/>
          <w:b w:val="1"/>
          <w:bCs w:val="1"/>
          <w:color w:val="auto"/>
        </w:rPr>
        <w:t>You state that your mobile browsers are among the market leaders in high growth regions such as South Asia, Southeast Asia and Africa, in terms of market share, according to StatCounter. Please identify the countries that comprise the regions of South Asia and Southeast Asia.</w:t>
      </w:r>
    </w:p>
    <w:p>
      <w:pPr>
        <w:spacing w:after="0" w:line="120" w:lineRule="exact"/>
        <w:rPr>
          <w:sz w:val="20"/>
          <w:szCs w:val="20"/>
          <w:color w:val="auto"/>
        </w:rPr>
      </w:pPr>
    </w:p>
    <w:p>
      <w:pPr>
        <w:ind w:left="340" w:right="420"/>
        <w:spacing w:after="0" w:line="277" w:lineRule="auto"/>
        <w:rPr>
          <w:sz w:val="20"/>
          <w:szCs w:val="20"/>
          <w:color w:val="auto"/>
        </w:rPr>
      </w:pPr>
      <w:r>
        <w:rPr>
          <w:rFonts w:ascii="Arial" w:cs="Arial" w:eastAsia="Arial" w:hAnsi="Arial"/>
          <w:sz w:val="18"/>
          <w:szCs w:val="18"/>
          <w:color w:val="auto"/>
        </w:rPr>
        <w:t>In response to the staff’s comment, the Company has added the definition of South Asia and Southeast Asia on page 7 of the Amended Registration Statement.</w:t>
      </w:r>
    </w:p>
    <w:p>
      <w:pPr>
        <w:spacing w:after="0" w:line="170"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Notes to the Consolidated Financial Statements</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Note 25 - Share-based payments, page F-43</w:t>
      </w:r>
    </w:p>
    <w:p>
      <w:pPr>
        <w:spacing w:after="0" w:line="211" w:lineRule="exact"/>
        <w:rPr>
          <w:sz w:val="20"/>
          <w:szCs w:val="20"/>
          <w:color w:val="auto"/>
        </w:rPr>
      </w:pPr>
    </w:p>
    <w:p>
      <w:pPr>
        <w:ind w:left="340" w:right="60" w:hanging="332"/>
        <w:spacing w:after="0" w:line="272" w:lineRule="auto"/>
        <w:tabs>
          <w:tab w:leader="none" w:pos="340" w:val="left"/>
        </w:tabs>
        <w:numPr>
          <w:ilvl w:val="0"/>
          <w:numId w:val="5"/>
        </w:numPr>
        <w:rPr>
          <w:rFonts w:ascii="Arial" w:cs="Arial" w:eastAsia="Arial" w:hAnsi="Arial"/>
          <w:sz w:val="17"/>
          <w:szCs w:val="17"/>
          <w:color w:val="auto"/>
        </w:rPr>
      </w:pPr>
      <w:r>
        <w:rPr>
          <w:rFonts w:ascii="Arial" w:cs="Arial" w:eastAsia="Arial" w:hAnsi="Arial"/>
          <w:sz w:val="17"/>
          <w:szCs w:val="17"/>
          <w:b w:val="1"/>
          <w:bCs w:val="1"/>
          <w:i w:val="1"/>
          <w:iCs w:val="1"/>
          <w:color w:val="auto"/>
        </w:rPr>
        <w:t>We note your response to prior comment 4. Expand your disclosures in Note 25 to incorporate more of the information included in your response. In this regard, provide clear disclosure that the RSUs awards will be replaced with awards issued by the parent company. Tell us why a factor of 0.4 is the share ratio between Opera Limited and the 500 million shares assumed and explain whether a similar ratio is being applied to participant interest. Further disclose your accounting for this transfer transaction. Refer to paragraph 28 of IFRS 2. In addition, revise footnote 5 to the summary information on page 12 to display how you calculated the RSUs outstanding while showing the impact of adjusting by the factor of 0.4 for each reporting period. This footnote should further show the number of RSUs that are dilutive and the number of RSUs that could potentially dilute basic EPS in the future.</w:t>
      </w:r>
    </w:p>
    <w:p>
      <w:pPr>
        <w:spacing w:after="0" w:line="177" w:lineRule="exact"/>
        <w:rPr>
          <w:rFonts w:ascii="Arial" w:cs="Arial" w:eastAsia="Arial" w:hAnsi="Arial"/>
          <w:sz w:val="17"/>
          <w:szCs w:val="17"/>
          <w:color w:val="auto"/>
        </w:rPr>
      </w:pPr>
    </w:p>
    <w:p>
      <w:pPr>
        <w:ind w:left="340" w:right="20"/>
        <w:spacing w:after="0" w:line="259" w:lineRule="auto"/>
        <w:rPr>
          <w:rFonts w:ascii="Arial" w:cs="Arial" w:eastAsia="Arial" w:hAnsi="Arial"/>
          <w:sz w:val="17"/>
          <w:szCs w:val="17"/>
          <w:color w:val="auto"/>
        </w:rPr>
      </w:pPr>
      <w:r>
        <w:rPr>
          <w:rFonts w:ascii="Arial" w:cs="Arial" w:eastAsia="Arial" w:hAnsi="Arial"/>
          <w:sz w:val="18"/>
          <w:szCs w:val="18"/>
          <w:color w:val="auto"/>
        </w:rPr>
        <w:t>In response to the staff's comments, the Company has revised Note 25 of the annual financial statements, and Note 11 to the unaudited condensed interim consolidated financial statements, to clarify that the RSU awards were granted by Kunhoo Software Limited (Hong Kong), an intermediate holding company, and to disclose the mechanisms for transferring the RSU program to the new issuer company (Opera Limited) as provided under the terms of the awards at the grant date.</w:t>
      </w:r>
    </w:p>
    <w:p>
      <w:pPr>
        <w:spacing w:after="0" w:line="186" w:lineRule="exact"/>
        <w:rPr>
          <w:rFonts w:ascii="Arial" w:cs="Arial" w:eastAsia="Arial" w:hAnsi="Arial"/>
          <w:sz w:val="17"/>
          <w:szCs w:val="17"/>
          <w:color w:val="auto"/>
        </w:rPr>
      </w:pPr>
    </w:p>
    <w:p>
      <w:pPr>
        <w:ind w:left="340"/>
        <w:spacing w:after="0" w:line="264" w:lineRule="auto"/>
        <w:rPr>
          <w:rFonts w:ascii="Arial" w:cs="Arial" w:eastAsia="Arial" w:hAnsi="Arial"/>
          <w:sz w:val="17"/>
          <w:szCs w:val="17"/>
          <w:color w:val="auto"/>
        </w:rPr>
      </w:pPr>
      <w:r>
        <w:rPr>
          <w:rFonts w:ascii="Arial" w:cs="Arial" w:eastAsia="Arial" w:hAnsi="Arial"/>
          <w:sz w:val="18"/>
          <w:szCs w:val="18"/>
          <w:color w:val="auto"/>
        </w:rPr>
        <w:t>The conversion factor is determined by dividing 200 million outstanding shares in Opera Limited, by the 500 million shares assumed under the RSU plan (200 million shares/500 million shares = 0.4). The same conversion factor will be used to determine the number of RSU's that plan participants will receive in Opera Limited based upon their Kunhoo Software Limited (Hong Kong) RSU awards.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261620</wp:posOffset>
            </wp:positionV>
            <wp:extent cx="724662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11400"/>
          </w:cols>
          <w:pgMar w:left="240" w:top="1125" w:right="259" w:bottom="1440" w:gutter="0" w:footer="0" w:header="0"/>
        </w:sectPr>
      </w:pPr>
    </w:p>
    <w:bookmarkStart w:id="3" w:name="page4"/>
    <w:bookmarkEnd w:id="3"/>
    <w:p>
      <w:pPr>
        <w:spacing w:after="0"/>
        <w:rPr>
          <w:sz w:val="20"/>
          <w:szCs w:val="20"/>
          <w:color w:val="auto"/>
        </w:rPr>
      </w:pPr>
      <w:r>
        <w:rPr>
          <w:rFonts w:ascii="Arial" w:cs="Arial" w:eastAsia="Arial" w:hAnsi="Arial"/>
          <w:sz w:val="18"/>
          <w:szCs w:val="18"/>
          <w:color w:val="auto"/>
        </w:rPr>
        <w:drawing>
          <wp:anchor simplePos="0" relativeHeight="251657728" behindDoc="1" locked="0" layoutInCell="0" allowOverlap="1">
            <wp:simplePos x="0" y="0"/>
            <wp:positionH relativeFrom="page">
              <wp:posOffset>2601595</wp:posOffset>
            </wp:positionH>
            <wp:positionV relativeFrom="page">
              <wp:posOffset>226060</wp:posOffset>
            </wp:positionV>
            <wp:extent cx="2358390" cy="2228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2358390" cy="222885"/>
                    </a:xfrm>
                    <a:prstGeom prst="rect">
                      <a:avLst/>
                    </a:prstGeom>
                    <a:noFill/>
                  </pic:spPr>
                </pic:pic>
              </a:graphicData>
            </a:graphic>
          </wp:anchor>
        </w:drawing>
        <w:t>Office of Information</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color w:val="auto"/>
        </w:rPr>
        <w:t>Technologies and Services</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July 13, 2018</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Page 4</w:t>
      </w:r>
    </w:p>
    <w:p>
      <w:pPr>
        <w:spacing w:after="0" w:line="200" w:lineRule="exact"/>
        <w:rPr>
          <w:sz w:val="20"/>
          <w:szCs w:val="20"/>
          <w:color w:val="auto"/>
        </w:rPr>
      </w:pPr>
    </w:p>
    <w:p>
      <w:pPr>
        <w:spacing w:after="0" w:line="227" w:lineRule="exact"/>
        <w:rPr>
          <w:sz w:val="20"/>
          <w:szCs w:val="20"/>
          <w:color w:val="auto"/>
        </w:rPr>
      </w:pPr>
    </w:p>
    <w:p>
      <w:pPr>
        <w:ind w:left="340"/>
        <w:spacing w:after="0" w:line="279" w:lineRule="auto"/>
        <w:rPr>
          <w:sz w:val="20"/>
          <w:szCs w:val="20"/>
          <w:color w:val="auto"/>
        </w:rPr>
      </w:pPr>
      <w:r>
        <w:rPr>
          <w:rFonts w:ascii="Arial" w:cs="Arial" w:eastAsia="Arial" w:hAnsi="Arial"/>
          <w:sz w:val="17"/>
          <w:szCs w:val="17"/>
          <w:color w:val="auto"/>
        </w:rPr>
        <w:t>The transfer of awards from Kunhoo Software Limited (Hong Kong) to Opera Limited in the event of an IPO is included in the terms of the original plan document. Accordingly, the transfer is not accounted for as a cancellation or settlement of the awards under IFRS 2 paragraph 28, and the transfer will have no direct accounting effect in the consolidated financial statements. The Company has revised its disclosure to note 11 to the unaudited condensed interim consolidated financial statements to clarify the accounting treatment of the transfer.</w:t>
      </w:r>
    </w:p>
    <w:p>
      <w:pPr>
        <w:spacing w:after="0" w:line="171" w:lineRule="exact"/>
        <w:rPr>
          <w:sz w:val="20"/>
          <w:szCs w:val="20"/>
          <w:color w:val="auto"/>
        </w:rPr>
      </w:pPr>
    </w:p>
    <w:p>
      <w:pPr>
        <w:ind w:left="340" w:right="80"/>
        <w:spacing w:after="0" w:line="342" w:lineRule="auto"/>
        <w:rPr>
          <w:sz w:val="20"/>
          <w:szCs w:val="20"/>
          <w:color w:val="auto"/>
        </w:rPr>
      </w:pPr>
      <w:r>
        <w:rPr>
          <w:rFonts w:ascii="Arial" w:cs="Arial" w:eastAsia="Arial" w:hAnsi="Arial"/>
          <w:sz w:val="16"/>
          <w:szCs w:val="16"/>
          <w:color w:val="auto"/>
        </w:rPr>
        <w:t>The Company has further revised footnote 5 on pages 12 and 54 of the Amended Registration Statement to provide the requested additional information about the RSUs outstanding, conversion of the RSUs and dilutive and potentially dilutive RSUs following the program’s transfer to Opera Limited.</w:t>
      </w:r>
    </w:p>
    <w:p>
      <w:pPr>
        <w:spacing w:after="0" w:line="124" w:lineRule="exact"/>
        <w:rPr>
          <w:sz w:val="20"/>
          <w:szCs w:val="20"/>
          <w:color w:val="auto"/>
        </w:rPr>
      </w:pPr>
    </w:p>
    <w:p>
      <w:pPr>
        <w:jc w:val="center"/>
        <w:ind w:right="-59"/>
        <w:spacing w:after="0"/>
        <w:tabs>
          <w:tab w:leader="none" w:pos="160" w:val="left"/>
          <w:tab w:leader="none" w:pos="160" w:val="left"/>
        </w:tabs>
        <w:rPr>
          <w:sz w:val="20"/>
          <w:szCs w:val="20"/>
          <w:color w:val="auto"/>
        </w:rPr>
      </w:pPr>
      <w:r>
        <w:rPr>
          <w:rFonts w:ascii="Arial" w:cs="Arial" w:eastAsia="Arial" w:hAnsi="Arial"/>
          <w:sz w:val="18"/>
          <w:szCs w:val="18"/>
          <w:color w:val="auto"/>
        </w:rPr>
        <w:t>*</w:t>
        <w:tab/>
        <w:t>*</w:t>
        <w:tab/>
        <w:t>*</w:t>
      </w:r>
    </w:p>
    <w:p>
      <w:pPr>
        <w:spacing w:after="0" w:line="225" w:lineRule="exact"/>
        <w:rPr>
          <w:sz w:val="20"/>
          <w:szCs w:val="20"/>
          <w:color w:val="auto"/>
        </w:rPr>
      </w:pPr>
    </w:p>
    <w:p>
      <w:pPr>
        <w:ind w:right="40" w:firstLine="648"/>
        <w:spacing w:after="0" w:line="286" w:lineRule="auto"/>
        <w:rPr>
          <w:sz w:val="20"/>
          <w:szCs w:val="20"/>
          <w:color w:val="auto"/>
        </w:rPr>
      </w:pPr>
      <w:r>
        <w:rPr>
          <w:rFonts w:ascii="Arial" w:cs="Arial" w:eastAsia="Arial" w:hAnsi="Arial"/>
          <w:sz w:val="17"/>
          <w:szCs w:val="17"/>
          <w:color w:val="auto"/>
        </w:rPr>
        <w:t>If you have any questions regarding the Amended Registration Statement, please contact me at david.zhang@kirkland.com, +852 3761 3318 (work) or +852 9124 8324 (cell), or Ben James at ben.james@kirkland.com, +852 3761 3412 (work) or +852 5183 3813 (cell). Questions pertaining to accounting and auditing matters may be directed to Frode Jacobsen, Chief Financial Officer, at frodej@opera.com, +47 975 77 930 (cell).</w:t>
      </w:r>
    </w:p>
    <w:p>
      <w:pPr>
        <w:spacing w:after="0" w:line="166" w:lineRule="exact"/>
        <w:rPr>
          <w:sz w:val="20"/>
          <w:szCs w:val="20"/>
          <w:color w:val="auto"/>
        </w:rPr>
      </w:pPr>
    </w:p>
    <w:p>
      <w:pPr>
        <w:ind w:left="660"/>
        <w:spacing w:after="0"/>
        <w:rPr>
          <w:sz w:val="20"/>
          <w:szCs w:val="20"/>
          <w:color w:val="auto"/>
        </w:rPr>
      </w:pPr>
      <w:r>
        <w:rPr>
          <w:rFonts w:ascii="Arial" w:cs="Arial" w:eastAsia="Arial" w:hAnsi="Arial"/>
          <w:sz w:val="18"/>
          <w:szCs w:val="18"/>
          <w:color w:val="auto"/>
        </w:rPr>
        <w:t>Thank you for your time and attention.</w:t>
      </w:r>
    </w:p>
    <w:p>
      <w:pPr>
        <w:spacing w:after="0" w:line="225" w:lineRule="exact"/>
        <w:rPr>
          <w:sz w:val="20"/>
          <w:szCs w:val="20"/>
          <w:color w:val="auto"/>
        </w:rPr>
      </w:pPr>
    </w:p>
    <w:p>
      <w:pPr>
        <w:ind w:left="5720"/>
        <w:spacing w:after="0"/>
        <w:rPr>
          <w:sz w:val="20"/>
          <w:szCs w:val="20"/>
          <w:color w:val="auto"/>
        </w:rPr>
      </w:pPr>
      <w:r>
        <w:rPr>
          <w:rFonts w:ascii="Arial" w:cs="Arial" w:eastAsia="Arial" w:hAnsi="Arial"/>
          <w:sz w:val="18"/>
          <w:szCs w:val="18"/>
          <w:color w:val="auto"/>
        </w:rPr>
        <w:t>Very truly yours,</w:t>
      </w:r>
    </w:p>
    <w:p>
      <w:pPr>
        <w:spacing w:after="0" w:line="225" w:lineRule="exact"/>
        <w:rPr>
          <w:sz w:val="20"/>
          <w:szCs w:val="20"/>
          <w:color w:val="auto"/>
        </w:rPr>
      </w:pPr>
    </w:p>
    <w:p>
      <w:pPr>
        <w:ind w:left="5720"/>
        <w:spacing w:after="0"/>
        <w:rPr>
          <w:sz w:val="20"/>
          <w:szCs w:val="20"/>
          <w:color w:val="auto"/>
        </w:rPr>
      </w:pPr>
      <w:r>
        <w:rPr>
          <w:rFonts w:ascii="Arial" w:cs="Arial" w:eastAsia="Arial" w:hAnsi="Arial"/>
          <w:sz w:val="18"/>
          <w:szCs w:val="18"/>
          <w:color w:val="auto"/>
        </w:rPr>
        <w:t>/s/ David Zhang</w:t>
      </w:r>
    </w:p>
    <w:p>
      <w:pPr>
        <w:spacing w:after="0" w:line="225" w:lineRule="exact"/>
        <w:rPr>
          <w:sz w:val="20"/>
          <w:szCs w:val="20"/>
          <w:color w:val="auto"/>
        </w:rPr>
      </w:pPr>
    </w:p>
    <w:p>
      <w:pPr>
        <w:ind w:left="5720"/>
        <w:spacing w:after="0"/>
        <w:rPr>
          <w:sz w:val="20"/>
          <w:szCs w:val="20"/>
          <w:color w:val="auto"/>
        </w:rPr>
      </w:pPr>
      <w:r>
        <w:rPr>
          <w:rFonts w:ascii="Arial" w:cs="Arial" w:eastAsia="Arial" w:hAnsi="Arial"/>
          <w:sz w:val="18"/>
          <w:szCs w:val="18"/>
          <w:color w:val="auto"/>
        </w:rPr>
        <w:t>David T. Zhang</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Arial" w:cs="Arial" w:eastAsia="Arial" w:hAnsi="Arial"/>
          <w:sz w:val="18"/>
          <w:szCs w:val="18"/>
          <w:color w:val="auto"/>
        </w:rPr>
        <w:t>Enclosures</w:t>
      </w:r>
    </w:p>
    <w:p>
      <w:pPr>
        <w:spacing w:after="0" w:line="225" w:lineRule="exact"/>
        <w:rPr>
          <w:sz w:val="20"/>
          <w:szCs w:val="20"/>
          <w:color w:val="auto"/>
        </w:rPr>
      </w:pPr>
    </w:p>
    <w:p>
      <w:pPr>
        <w:ind w:left="660" w:right="4900" w:hanging="652"/>
        <w:spacing w:after="0" w:line="258" w:lineRule="auto"/>
        <w:tabs>
          <w:tab w:leader="none" w:pos="660" w:val="left"/>
        </w:tabs>
        <w:numPr>
          <w:ilvl w:val="0"/>
          <w:numId w:val="6"/>
        </w:numPr>
        <w:rPr>
          <w:rFonts w:ascii="Arial" w:cs="Arial" w:eastAsia="Arial" w:hAnsi="Arial"/>
          <w:sz w:val="18"/>
          <w:szCs w:val="18"/>
          <w:color w:val="auto"/>
        </w:rPr>
      </w:pPr>
      <w:r>
        <w:rPr>
          <w:rFonts w:ascii="Arial" w:cs="Arial" w:eastAsia="Arial" w:hAnsi="Arial"/>
          <w:sz w:val="18"/>
          <w:szCs w:val="18"/>
          <w:color w:val="auto"/>
        </w:rPr>
        <w:t>Yahui Zhou, Chairman of the Board and Chief Executive Officer, Opera Limited Frode Jacobsen, Chief Financial Officer, Opera Limited</w:t>
      </w:r>
    </w:p>
    <w:p>
      <w:pPr>
        <w:spacing w:after="0" w:line="1" w:lineRule="exact"/>
        <w:rPr>
          <w:rFonts w:ascii="Arial" w:cs="Arial" w:eastAsia="Arial" w:hAnsi="Arial"/>
          <w:sz w:val="18"/>
          <w:szCs w:val="18"/>
          <w:color w:val="auto"/>
        </w:rPr>
      </w:pPr>
    </w:p>
    <w:p>
      <w:pPr>
        <w:ind w:left="660" w:right="6040"/>
        <w:spacing w:after="0" w:line="295" w:lineRule="auto"/>
        <w:rPr>
          <w:rFonts w:ascii="Arial" w:cs="Arial" w:eastAsia="Arial" w:hAnsi="Arial"/>
          <w:sz w:val="18"/>
          <w:szCs w:val="18"/>
          <w:color w:val="auto"/>
        </w:rPr>
      </w:pPr>
      <w:r>
        <w:rPr>
          <w:rFonts w:ascii="Arial" w:cs="Arial" w:eastAsia="Arial" w:hAnsi="Arial"/>
          <w:sz w:val="16"/>
          <w:szCs w:val="16"/>
          <w:color w:val="auto"/>
        </w:rPr>
        <w:t>Aaron McParlan, Esq., General Counsel, Opera Limited Ben James, Esq., Partner, Kirkland &amp; Ellis International LLP Dan Ouyang, Esq. Partner, Wilson Sonsini Goodrich &amp; Rosati Weiheng Chen, Esq., Partner, Wilson Sonsini Goodrich &amp; Rosati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248920</wp:posOffset>
            </wp:positionV>
            <wp:extent cx="72466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sectPr>
      <w:pgSz w:w="11900" w:h="16838" w:orient="portrait"/>
      <w:cols w:equalWidth="0" w:num="1">
        <w:col w:w="11360"/>
      </w:cols>
      <w:pgMar w:left="240" w:top="1125" w:right="29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2AE8944A"/>
    <w:multiLevelType w:val="hybridMultilevel"/>
    <w:lvl w:ilvl="0">
      <w:lvlJc w:val="left"/>
      <w:lvlText w:val="6"/>
      <w:numFmt w:val="bullet"/>
      <w:start w:val="1"/>
    </w:lvl>
  </w:abstractNum>
  <w:abstractNum w:abstractNumId="1">
    <w:nsid w:val="625558EC"/>
    <w:multiLevelType w:val="hybridMultilevel"/>
    <w:lvl w:ilvl="0">
      <w:lvlJc w:val="left"/>
      <w:lvlText w:val="%1."/>
      <w:numFmt w:val="decimal"/>
      <w:start w:val="1"/>
    </w:lvl>
  </w:abstractNum>
  <w:abstractNum w:abstractNumId="2">
    <w:nsid w:val="238E1F29"/>
    <w:multiLevelType w:val="hybridMultilevel"/>
    <w:lvl w:ilvl="0">
      <w:lvlJc w:val="left"/>
      <w:lvlText w:val="%1."/>
      <w:numFmt w:val="decimal"/>
      <w:start w:val="2"/>
    </w:lvl>
  </w:abstractNum>
  <w:abstractNum w:abstractNumId="3">
    <w:nsid w:val="46E87CCD"/>
    <w:multiLevelType w:val="hybridMultilevel"/>
    <w:lvl w:ilvl="0">
      <w:lvlJc w:val="left"/>
      <w:lvlText w:val="%1."/>
      <w:numFmt w:val="decimal"/>
      <w:start w:val="3"/>
    </w:lvl>
  </w:abstractNum>
  <w:abstractNum w:abstractNumId="4">
    <w:nsid w:val="3D1B58BA"/>
    <w:multiLevelType w:val="hybridMultilevel"/>
    <w:lvl w:ilvl="0">
      <w:lvlJc w:val="left"/>
      <w:lvlText w:val="%1."/>
      <w:numFmt w:val="decimal"/>
      <w:start w:val="4"/>
    </w:lvl>
  </w:abstractNum>
  <w:abstractNum w:abstractNumId="5">
    <w:nsid w:val="507ED7AB"/>
    <w:multiLevelType w:val="hybridMultilevel"/>
    <w:lvl w:ilvl="0">
      <w:lvlJc w:val="left"/>
      <w:lvlText w:val="c.%1."/>
      <w:numFmt w:val="lowerLetter"/>
      <w:start w:val="3"/>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2019-12-08T18:40:11Z</dcterms:created>
  <dcterms:modified xsi:type="dcterms:W3CDTF">2019-12-08T18:40:11Z</dcterms:modified>
</cp:coreProperties>
</file>