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6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98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February 2, 2026, titled “Opera’s fourth quarter revenue and adjusted EBITDA expected to exceed guidance; full-year</w:t>
            </w:r>
          </w:p>
        </w:tc>
        <w:tc>
          <w:tcPr>
            <w:tcW w:w="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revenue growth surpasses 26%”</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20" w:type="dxa"/>
            <w:vAlign w:val="bottom"/>
            <w:tcBorders>
              <w:top w:val="single" w:sz="8" w:color="0000FF"/>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Opera’s fourth quarter revenue and adjusted EBITDA expected to exceed guidance; full-year revenue growth surpasses 26%</w:t>
      </w:r>
    </w:p>
    <w:p>
      <w:pPr>
        <w:spacing w:after="0" w:line="15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February 2, 2026 </w:t>
      </w:r>
      <w:r>
        <w:rPr>
          <w:rFonts w:ascii="Times New Roman" w:cs="Times New Roman" w:eastAsia="Times New Roman" w:hAnsi="Times New Roman"/>
          <w:sz w:val="18"/>
          <w:szCs w:val="18"/>
          <w:color w:val="auto"/>
        </w:rPr>
        <w:t>— Opera Limited (NASDAQ: OPRA), a leading global browser and AI agent company,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expects fourth quarter 2025 results to come in above its previously issued guidance ranges for both revenue and adjusted EBITDA.</w:t>
      </w:r>
    </w:p>
    <w:p>
      <w:pPr>
        <w:spacing w:after="0" w:line="1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expects fourth-quarter revenue to exceed $170 million, compared to prior guidance of $162 – 165 million. As a result, full-year revenue is expected to be above $608 million, growing by over 26%, or approximately $130 million, compared to 2024.</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 also expects adjusted EBITDA to surpass the high end of its prior guidance range of $37.5 – 40.5 million, with full-year adjusted EBITDA projected to exceed $141 million.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Opera browser has always been tailored for the most demanding users. This position is already benefiting us as an increasing number of people consider what browser is best suited to be their gateway and point of integration across web content, services and the AI powered tools that they increasingly rely on,” said Lin Song, CEO. “Our high-ARPU Western user base increased by approximately 2 million users sequentially from the third to the fourth quarter, providing a powerful tailwind for our monetization engines,” Mr. Song concluded.</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“Over the course of 2025, we were able to raise growth expectations with each passing quarter, and we are very pleased to yet again exceed our expected financial results. Opera entered the fourth quarter at an unprecedented scale, and continued to benefit from both our rapidly expanding e-commerce opportunities and our ability to serve users’ queries through both search and other partner promotions,” said Frode Jacobsen, CFO. “As we enter 2026, we are excited about our potential to drive growth through both commercial and product opportunities.”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will announce its fourth quarter 2025 financial results before the market opens on Thursday, February 26, 2026. The earnings release will be available on our investor relations website at investor.opera.com.</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 discuss the fourth quarter 2025 financial results on the same day at 8:00 a.m. ET. Listeners may access the call by dialing the following numbers: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+1 800-267-6316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 +47 80-01-3780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+1 203-518-9783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Code: OPRAQ425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conference call can be accessed at investor.opera.com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 IFRS Financial Measures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IFRS Accounting Standards; however, we also use certain non-IFRS measures, such as adjusted EBITDA, to evaluate performance. We believe adjusted EBITDA provides meaningful supplemental information regarding our financial performance by excluding certain items that may not be indicative of recurring core business operating results. 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expenses, and (ix) other operating income. We have not reconciled our expectation for adjusted EBITDA to net income as the most directly comparable IFRS measure because the valuation of our investment in OPay and the calculation of tax accruals cannot be reasonably predicted at this time without unreasonable effort. These items could have a significant impact on the calculation of net income under IFRS.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ind w:right="60"/>
        <w:spacing w:after="0" w:line="282" w:lineRule="auto"/>
        <w:rPr>
          <w:sz w:val="20"/>
          <w:szCs w:val="20"/>
          <w:color w:val="auto"/>
        </w:rPr>
      </w:pPr>
      <w:r>
        <w:rPr>
          <w:rFonts w:ascii="Times New Roman" w:cs="Times New Roman" w:eastAsia="Times New Roman" w:hAnsi="Times New Roman"/>
          <w:sz w:val="18"/>
          <w:szCs w:val="18"/>
          <w:color w:val="auto"/>
        </w:rPr>
        <w:t>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3" w:right="4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2026-02-02T06:27:25Z</dcterms:created>
  <dcterms:modified xsi:type="dcterms:W3CDTF">2026-02-02T06:27:25Z</dcterms:modified>
</cp:coreProperties>
</file>