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167005</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190500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left="260" w:right="259"/>
        <w:spacing w:after="0" w:line="263" w:lineRule="auto"/>
        <w:rPr>
          <w:sz w:val="20"/>
          <w:szCs w:val="20"/>
          <w:color w:val="auto"/>
        </w:rPr>
      </w:pPr>
      <w:r>
        <w:rPr>
          <w:rFonts w:ascii="Times New Roman" w:cs="Times New Roman" w:eastAsia="Times New Roman" w:hAnsi="Times New Roman"/>
          <w:sz w:val="21"/>
          <w:szCs w:val="21"/>
          <w:b w:val="1"/>
          <w:bCs w:val="1"/>
          <w:color w:val="auto"/>
        </w:rPr>
        <w:t>REPORT OF FOREIGN PRIVATE ISSUER PURSUANT TO RULE 13a-16 OR 15d-16 UNDER THE SECURITIES EXCHANGE ACT OF 1934</w:t>
      </w:r>
    </w:p>
    <w:p>
      <w:pPr>
        <w:spacing w:after="0" w:line="1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month of August 2025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001-38588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182880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OPERA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207010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Vitaminveien 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0485 Oslo, Norway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jc w:val="center"/>
        <w:ind w:right="19"/>
        <w:spacing w:after="0" w:line="207" w:lineRule="exact"/>
        <w:tabs>
          <w:tab w:leader="none" w:pos="2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-718185</wp:posOffset>
            </wp:positionH>
            <wp:positionV relativeFrom="paragraph">
              <wp:posOffset>424815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821"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20" w:type="dxa"/>
            <w:vAlign w:val="bottom"/>
            <w:gridSpan w:val="2"/>
          </w:tcPr>
          <w:p>
            <w:pPr>
              <w:ind w:left="29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 w:type="dxa"/>
            <w:vAlign w:val="bottom"/>
          </w:tcPr>
          <w:p>
            <w:pPr>
              <w:spacing w:after="0"/>
              <w:rPr>
                <w:sz w:val="24"/>
                <w:szCs w:val="24"/>
                <w:color w:val="auto"/>
              </w:rPr>
            </w:pPr>
          </w:p>
        </w:tc>
        <w:tc>
          <w:tcPr>
            <w:tcW w:w="100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1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4"/>
                <w:szCs w:val="14"/>
                <w:color w:val="auto"/>
              </w:rPr>
            </w:pPr>
          </w:p>
        </w:tc>
        <w:tc>
          <w:tcPr>
            <w:tcW w:w="9420" w:type="dxa"/>
            <w:vAlign w:val="bottom"/>
            <w:tcBorders>
              <w:bottom w:val="single" w:sz="8" w:color="0000FF"/>
            </w:tcBorders>
            <w:gridSpan w:val="2"/>
          </w:tcPr>
          <w:p>
            <w:pPr>
              <w:ind w:left="20"/>
              <w:spacing w:after="0" w:line="169" w:lineRule="exact"/>
              <w:rPr>
                <w:sz w:val="20"/>
                <w:szCs w:val="20"/>
                <w:color w:val="auto"/>
              </w:rPr>
            </w:pPr>
            <w:r>
              <w:rPr>
                <w:rFonts w:ascii="Times New Roman" w:cs="Times New Roman" w:eastAsia="Times New Roman" w:hAnsi="Times New Roman"/>
                <w:sz w:val="18"/>
                <w:szCs w:val="18"/>
                <w:color w:val="0000FF"/>
              </w:rPr>
              <w:t>Press release dated August 19, 2025, titled “Opera Reports Second Quarter 2025 Results Ahead of Expectations, Raises Full-Year</w:t>
            </w:r>
          </w:p>
        </w:tc>
        <w:tc>
          <w:tcPr>
            <w:tcW w:w="580" w:type="dxa"/>
            <w:vAlign w:val="bottom"/>
          </w:tcPr>
          <w:p>
            <w:pPr>
              <w:spacing w:after="0"/>
              <w:rPr>
                <w:sz w:val="14"/>
                <w:szCs w:val="14"/>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FF"/>
              </w:rPr>
              <w:t>Guidance”</w:t>
            </w:r>
          </w:p>
        </w:tc>
      </w:tr>
      <w:tr>
        <w:trPr>
          <w:trHeight w:val="878"/>
        </w:trPr>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80" w:type="dxa"/>
            <w:vAlign w:val="bottom"/>
            <w:tcBorders>
              <w:top w:val="single" w:sz="8" w:color="0000FF"/>
              <w:bottom w:val="single" w:sz="8" w:color="9A9A9A"/>
            </w:tcBorders>
          </w:tcPr>
          <w:p>
            <w:pPr>
              <w:spacing w:after="0"/>
              <w:rPr>
                <w:sz w:val="24"/>
                <w:szCs w:val="24"/>
                <w:color w:val="auto"/>
              </w:rPr>
            </w:pPr>
          </w:p>
        </w:tc>
        <w:tc>
          <w:tcPr>
            <w:tcW w:w="86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760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Opera Limited</w:t>
            </w:r>
          </w:p>
        </w:tc>
      </w:tr>
      <w:tr>
        <w:trPr>
          <w:trHeight w:val="432"/>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19, 2025</w:t>
            </w:r>
          </w:p>
        </w:tc>
        <w:tc>
          <w:tcPr>
            <w:tcW w:w="26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Yahui Zhou</w:t>
            </w:r>
          </w:p>
        </w:tc>
      </w:tr>
      <w:tr>
        <w:trPr>
          <w:trHeight w:val="191"/>
        </w:trPr>
        <w:tc>
          <w:tcPr>
            <w:tcW w:w="3640" w:type="dxa"/>
            <w:vAlign w:val="bottom"/>
          </w:tcPr>
          <w:p>
            <w:pPr>
              <w:spacing w:after="0"/>
              <w:rPr>
                <w:sz w:val="16"/>
                <w:szCs w:val="16"/>
                <w:color w:val="auto"/>
              </w:rPr>
            </w:pPr>
          </w:p>
        </w:tc>
        <w:tc>
          <w:tcPr>
            <w:tcW w:w="2660" w:type="dxa"/>
            <w:vAlign w:val="bottom"/>
          </w:tcPr>
          <w:p>
            <w:pPr>
              <w:ind w:left="20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James Yahui Zhou</w:t>
            </w:r>
          </w:p>
        </w:tc>
      </w:tr>
      <w:tr>
        <w:trPr>
          <w:trHeight w:val="234"/>
        </w:trPr>
        <w:tc>
          <w:tcPr>
            <w:tcW w:w="3640" w:type="dxa"/>
            <w:vAlign w:val="bottom"/>
          </w:tcPr>
          <w:p>
            <w:pPr>
              <w:spacing w:after="0"/>
              <w:rPr>
                <w:sz w:val="20"/>
                <w:szCs w:val="20"/>
                <w:color w:val="auto"/>
              </w:rPr>
            </w:pPr>
          </w:p>
        </w:tc>
        <w:tc>
          <w:tcPr>
            <w:tcW w:w="26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r>
      <w:tr>
        <w:trPr>
          <w:trHeight w:val="844"/>
        </w:trPr>
        <w:tc>
          <w:tcPr>
            <w:tcW w:w="364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19685</wp:posOffset>
            </wp:positionV>
            <wp:extent cx="874395" cy="3168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74395"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Opera Reports Second Quarter 2025 Results Ahead of Expectations, Raises Full-Year Guidance</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Revenue grew 30% year-over-year to $143.0 million, and exceeded the guidance range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Adjusted EBITDA of $32.1 million, a 22% margin, also exceeded the guidance range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Opera yet again raises growth expectations, guiding full-year revenue of $585 – 597 million with 23% adjusted EBITDA margin at the midpoints</w:t>
      </w:r>
    </w:p>
    <w:p>
      <w:pPr>
        <w:spacing w:after="0" w:line="200" w:lineRule="exact"/>
        <w:rPr>
          <w:sz w:val="20"/>
          <w:szCs w:val="20"/>
          <w:color w:val="auto"/>
        </w:rPr>
      </w:pPr>
    </w:p>
    <w:p>
      <w:pPr>
        <w:spacing w:after="0" w:line="239"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OSLO, Norway, August 19, 2025 </w:t>
      </w:r>
      <w:r>
        <w:rPr>
          <w:rFonts w:ascii="Times New Roman" w:cs="Times New Roman" w:eastAsia="Times New Roman" w:hAnsi="Times New Roman"/>
          <w:sz w:val="18"/>
          <w:szCs w:val="18"/>
          <w:color w:val="auto"/>
        </w:rPr>
        <w:t>– Opera Limited (NASDAQ: OPRA), a leading global browser and AI agent company, today announced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results for the quarter ended June 30, 2025.</w:t>
      </w:r>
    </w:p>
    <w:p>
      <w:pPr>
        <w:spacing w:after="0" w:line="13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“Our strong second quarter results, with both revenue and adjusted EBITDA surpassing expectations, were fueled by continued momentum in AI powered intent-based advertising, in particular for e-commerce, and an acceleration to double-digit growth in search revenue. Our financial results and solid balance sheet provide a strong foundation as we continue to develop the world's most innovative web browsers,</w:t>
      </w:r>
      <w:r>
        <w:rPr>
          <w:rFonts w:ascii="Times New Roman" w:cs="Times New Roman" w:eastAsia="Times New Roman" w:hAnsi="Times New Roman"/>
          <w:sz w:val="18"/>
          <w:szCs w:val="18"/>
          <w:color w:val="1D1C1D"/>
        </w:rPr>
        <w:t>” said co-CEO Lin Song.</w:t>
      </w:r>
    </w:p>
    <w:p>
      <w:pPr>
        <w:spacing w:after="0" w:line="135" w:lineRule="exact"/>
        <w:rPr>
          <w:sz w:val="20"/>
          <w:szCs w:val="20"/>
          <w:color w:val="auto"/>
        </w:rPr>
      </w:pPr>
    </w:p>
    <w:p>
      <w:pPr>
        <w:ind w:right="420"/>
        <w:spacing w:after="0" w:line="258" w:lineRule="auto"/>
        <w:rPr>
          <w:sz w:val="20"/>
          <w:szCs w:val="20"/>
          <w:color w:val="auto"/>
        </w:rPr>
      </w:pPr>
      <w:r>
        <w:rPr>
          <w:rFonts w:ascii="Times New Roman" w:cs="Times New Roman" w:eastAsia="Times New Roman" w:hAnsi="Times New Roman"/>
          <w:sz w:val="18"/>
          <w:szCs w:val="18"/>
          <w:color w:val="auto"/>
        </w:rPr>
        <w:t>“In May we announced Opera Neon, a new agentic browser that redefines the role and productivity potential of the browser. With its native and fully-integrated AI agent, Opera Neon combines advanced reasoning and summarization with seamless access to user context, unlocking a transformative browsing experience that doesn’t just execute tasks, but understands and anticipates them. With 30 years of pioneering web productivity, and scale far greater than most web-based AI platforms, we will make AI widely accessible, naturally integrated, and with immediate productivity benefits for our users,” continued Mr. Song.</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Second Quarter and First Half 2025 Financial Highlights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0" w:type="dxa"/>
            <w:vAlign w:val="bottom"/>
            <w:gridSpan w:val="6"/>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9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percentages and per share amounts</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320" w:type="dxa"/>
            <w:vAlign w:val="bottom"/>
            <w:vMerge w:val="restart"/>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92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6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6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109,734</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142,962</w:t>
            </w:r>
          </w:p>
        </w:tc>
        <w:tc>
          <w:tcPr>
            <w:tcW w:w="24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30%</w:t>
            </w: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211,605</w:t>
            </w:r>
          </w:p>
        </w:tc>
        <w:tc>
          <w:tcPr>
            <w:tcW w:w="200" w:type="dxa"/>
            <w:vAlign w:val="bottom"/>
            <w:shd w:val="clear" w:color="auto" w:fill="CFF0FC"/>
          </w:tcPr>
          <w:p>
            <w:pPr>
              <w:spacing w:after="0"/>
              <w:rPr>
                <w:sz w:val="17"/>
                <w:szCs w:val="17"/>
                <w:color w:val="auto"/>
              </w:rPr>
            </w:pPr>
          </w:p>
        </w:tc>
        <w:tc>
          <w:tcPr>
            <w:tcW w:w="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285,678</w:t>
            </w:r>
          </w:p>
        </w:tc>
        <w:tc>
          <w:tcPr>
            <w:tcW w:w="2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03"/>
        </w:trPr>
        <w:tc>
          <w:tcPr>
            <w:tcW w:w="3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19,303</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15,676</w:t>
            </w:r>
          </w:p>
        </w:tc>
        <w:tc>
          <w:tcPr>
            <w:tcW w:w="24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(19)%</w:t>
            </w: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34,142</w:t>
            </w:r>
          </w:p>
        </w:tc>
        <w:tc>
          <w:tcPr>
            <w:tcW w:w="200" w:type="dxa"/>
            <w:vAlign w:val="bottom"/>
            <w:shd w:val="clear" w:color="auto" w:fill="CFF0FC"/>
          </w:tcPr>
          <w:p>
            <w:pPr>
              <w:spacing w:after="0"/>
              <w:rPr>
                <w:sz w:val="17"/>
                <w:szCs w:val="17"/>
                <w:color w:val="auto"/>
              </w:rPr>
            </w:pPr>
          </w:p>
        </w:tc>
        <w:tc>
          <w:tcPr>
            <w:tcW w:w="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33,959</w:t>
            </w:r>
          </w:p>
        </w:tc>
        <w:tc>
          <w:tcPr>
            <w:tcW w:w="2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3"/>
        </w:trPr>
        <w:tc>
          <w:tcPr>
            <w:tcW w:w="39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Net income margin</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i w:val="1"/>
                <w:iCs w:val="1"/>
                <w:color w:val="auto"/>
              </w:rPr>
              <w:t>18%</w:t>
            </w:r>
          </w:p>
        </w:tc>
        <w:tc>
          <w:tcPr>
            <w:tcW w:w="20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i w:val="1"/>
                <w:iCs w:val="1"/>
                <w:color w:val="auto"/>
              </w:rPr>
              <w:t>11%</w:t>
            </w: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i w:val="1"/>
                <w:iCs w:val="1"/>
                <w:color w:val="auto"/>
              </w:rPr>
              <w:t>16%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i w:val="1"/>
                <w:iCs w:val="1"/>
                <w:color w:val="auto"/>
              </w:rPr>
              <w:t>12%</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20" w:type="dxa"/>
            <w:vAlign w:val="bottom"/>
          </w:tcPr>
          <w:p>
            <w:pPr>
              <w:spacing w:after="0" w:line="203" w:lineRule="exact"/>
              <w:rPr>
                <w:sz w:val="20"/>
                <w:szCs w:val="20"/>
                <w:color w:val="auto"/>
              </w:rPr>
            </w:pPr>
            <w:r>
              <w:rPr>
                <w:rFonts w:ascii="Times New Roman" w:cs="Times New Roman" w:eastAsia="Times New Roman" w:hAnsi="Times New Roman"/>
                <w:sz w:val="16"/>
                <w:szCs w:val="16"/>
                <w:color w:val="auto"/>
              </w:rPr>
              <w:t xml:space="preserve">Adjusted net income </w:t>
            </w:r>
            <w:r>
              <w:rPr>
                <w:rFonts w:ascii="Times New Roman" w:cs="Times New Roman" w:eastAsia="Times New Roman" w:hAnsi="Times New Roman"/>
                <w:sz w:val="21"/>
                <w:szCs w:val="21"/>
                <w:color w:val="auto"/>
                <w:vertAlign w:val="superscript"/>
              </w:rPr>
              <w:t>(1)</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20,773</w:t>
            </w:r>
          </w:p>
        </w:tc>
        <w:tc>
          <w:tcPr>
            <w:tcW w:w="280" w:type="dxa"/>
            <w:vAlign w:val="bottom"/>
          </w:tcPr>
          <w:p>
            <w:pPr>
              <w:spacing w:after="0"/>
              <w:rPr>
                <w:sz w:val="17"/>
                <w:szCs w:val="17"/>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23,723</w:t>
            </w:r>
          </w:p>
        </w:tc>
        <w:tc>
          <w:tcPr>
            <w:tcW w:w="24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14%</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38,450</w:t>
            </w:r>
          </w:p>
        </w:tc>
        <w:tc>
          <w:tcPr>
            <w:tcW w:w="200" w:type="dxa"/>
            <w:vAlign w:val="bottom"/>
          </w:tcPr>
          <w:p>
            <w:pPr>
              <w:spacing w:after="0"/>
              <w:rPr>
                <w:sz w:val="17"/>
                <w:szCs w:val="17"/>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47,878</w:t>
            </w:r>
          </w:p>
        </w:tc>
        <w:tc>
          <w:tcPr>
            <w:tcW w:w="26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03"/>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i w:val="1"/>
                <w:iCs w:val="1"/>
                <w:color w:val="auto"/>
              </w:rPr>
              <w:t>Adjusted net income margin</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i w:val="1"/>
                <w:iCs w:val="1"/>
                <w:color w:val="auto"/>
              </w:rPr>
              <w:t>19%</w:t>
            </w:r>
          </w:p>
        </w:tc>
        <w:tc>
          <w:tcPr>
            <w:tcW w:w="20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i w:val="1"/>
                <w:iCs w:val="1"/>
                <w:color w:val="auto"/>
              </w:rPr>
              <w:t>17%</w:t>
            </w:r>
          </w:p>
        </w:tc>
        <w:tc>
          <w:tcPr>
            <w:tcW w:w="9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i w:val="1"/>
                <w:iCs w:val="1"/>
                <w:color w:val="auto"/>
              </w:rPr>
              <w:t>18%</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i w:val="1"/>
                <w:iCs w:val="1"/>
                <w:color w:val="auto"/>
              </w:rPr>
              <w:t>17%</w:t>
            </w: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20" w:type="dxa"/>
            <w:vAlign w:val="bottom"/>
            <w:shd w:val="clear" w:color="auto" w:fill="CFF0FC"/>
          </w:tcPr>
          <w:p>
            <w:pPr>
              <w:spacing w:after="0" w:line="203" w:lineRule="exact"/>
              <w:rPr>
                <w:sz w:val="20"/>
                <w:szCs w:val="20"/>
                <w:color w:val="auto"/>
              </w:rPr>
            </w:pPr>
            <w:r>
              <w:rPr>
                <w:rFonts w:ascii="Times New Roman" w:cs="Times New Roman" w:eastAsia="Times New Roman" w:hAnsi="Times New Roman"/>
                <w:sz w:val="16"/>
                <w:szCs w:val="16"/>
                <w:color w:val="auto"/>
              </w:rPr>
              <w:t xml:space="preserve">Adjusted EBITDA </w:t>
            </w:r>
            <w:r>
              <w:rPr>
                <w:rFonts w:ascii="Times New Roman" w:cs="Times New Roman" w:eastAsia="Times New Roman" w:hAnsi="Times New Roman"/>
                <w:sz w:val="21"/>
                <w:szCs w:val="21"/>
                <w:color w:val="auto"/>
                <w:vertAlign w:val="superscript"/>
              </w:rPr>
              <w:t>(1)</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26,606</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32,094</w:t>
            </w:r>
          </w:p>
        </w:tc>
        <w:tc>
          <w:tcPr>
            <w:tcW w:w="24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21%</w:t>
            </w: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51,519</w:t>
            </w:r>
          </w:p>
        </w:tc>
        <w:tc>
          <w:tcPr>
            <w:tcW w:w="200" w:type="dxa"/>
            <w:vAlign w:val="bottom"/>
            <w:shd w:val="clear" w:color="auto" w:fill="CFF0FC"/>
          </w:tcPr>
          <w:p>
            <w:pPr>
              <w:spacing w:after="0"/>
              <w:rPr>
                <w:sz w:val="17"/>
                <w:szCs w:val="17"/>
                <w:color w:val="auto"/>
              </w:rPr>
            </w:pPr>
          </w:p>
        </w:tc>
        <w:tc>
          <w:tcPr>
            <w:tcW w:w="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64,352</w:t>
            </w:r>
          </w:p>
        </w:tc>
        <w:tc>
          <w:tcPr>
            <w:tcW w:w="2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03"/>
        </w:trPr>
        <w:tc>
          <w:tcPr>
            <w:tcW w:w="39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Adjusted EBITDA margin</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i w:val="1"/>
                <w:iCs w:val="1"/>
                <w:color w:val="auto"/>
              </w:rPr>
              <w:t>24%</w:t>
            </w:r>
          </w:p>
        </w:tc>
        <w:tc>
          <w:tcPr>
            <w:tcW w:w="20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i w:val="1"/>
                <w:iCs w:val="1"/>
                <w:color w:val="auto"/>
              </w:rPr>
              <w:t>22%</w:t>
            </w: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i w:val="1"/>
                <w:iCs w:val="1"/>
                <w:color w:val="auto"/>
              </w:rPr>
              <w:t>24%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i w:val="1"/>
                <w:iCs w:val="1"/>
                <w:color w:val="auto"/>
              </w:rPr>
              <w:t>23%</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20" w:type="dxa"/>
            <w:vAlign w:val="bottom"/>
          </w:tcPr>
          <w:p>
            <w:pPr>
              <w:spacing w:after="0"/>
              <w:rPr>
                <w:sz w:val="20"/>
                <w:szCs w:val="20"/>
                <w:color w:val="auto"/>
              </w:rPr>
            </w:pPr>
            <w:r>
              <w:rPr>
                <w:rFonts w:ascii="Times New Roman" w:cs="Times New Roman" w:eastAsia="Times New Roman" w:hAnsi="Times New Roman"/>
                <w:sz w:val="16"/>
                <w:szCs w:val="16"/>
                <w:color w:val="auto"/>
              </w:rPr>
              <w:t>Diluted earnings per share</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0.22</w:t>
            </w:r>
          </w:p>
        </w:tc>
        <w:tc>
          <w:tcPr>
            <w:tcW w:w="280" w:type="dxa"/>
            <w:vAlign w:val="bottom"/>
          </w:tcPr>
          <w:p>
            <w:pPr>
              <w:spacing w:after="0"/>
              <w:rPr>
                <w:sz w:val="17"/>
                <w:szCs w:val="17"/>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24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(20)%</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0.38</w:t>
            </w:r>
          </w:p>
        </w:tc>
        <w:tc>
          <w:tcPr>
            <w:tcW w:w="200" w:type="dxa"/>
            <w:vAlign w:val="bottom"/>
          </w:tcPr>
          <w:p>
            <w:pPr>
              <w:spacing w:after="0"/>
              <w:rPr>
                <w:sz w:val="17"/>
                <w:szCs w:val="17"/>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0.38</w:t>
            </w:r>
          </w:p>
        </w:tc>
        <w:tc>
          <w:tcPr>
            <w:tcW w:w="260" w:type="dxa"/>
            <w:vAlign w:val="bottom"/>
          </w:tcPr>
          <w:p>
            <w:pPr>
              <w:spacing w:after="0"/>
              <w:rPr>
                <w:sz w:val="17"/>
                <w:szCs w:val="17"/>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3"/>
        </w:trPr>
        <w:tc>
          <w:tcPr>
            <w:tcW w:w="3920" w:type="dxa"/>
            <w:vAlign w:val="bottom"/>
            <w:shd w:val="clear" w:color="auto" w:fill="CFF0FC"/>
          </w:tcPr>
          <w:p>
            <w:pPr>
              <w:spacing w:after="0" w:line="203" w:lineRule="exact"/>
              <w:rPr>
                <w:sz w:val="20"/>
                <w:szCs w:val="20"/>
                <w:color w:val="auto"/>
              </w:rPr>
            </w:pPr>
            <w:r>
              <w:rPr>
                <w:rFonts w:ascii="Times New Roman" w:cs="Times New Roman" w:eastAsia="Times New Roman" w:hAnsi="Times New Roman"/>
                <w:sz w:val="16"/>
                <w:szCs w:val="16"/>
                <w:color w:val="auto"/>
              </w:rPr>
              <w:t xml:space="preserve">Adjusted diluted earnings per share </w:t>
            </w:r>
            <w:r>
              <w:rPr>
                <w:rFonts w:ascii="Times New Roman" w:cs="Times New Roman" w:eastAsia="Times New Roman" w:hAnsi="Times New Roman"/>
                <w:sz w:val="21"/>
                <w:szCs w:val="21"/>
                <w:color w:val="auto"/>
                <w:vertAlign w:val="superscript"/>
              </w:rPr>
              <w:t>(1)</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0.23</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0.26</w:t>
            </w:r>
          </w:p>
        </w:tc>
        <w:tc>
          <w:tcPr>
            <w:tcW w:w="24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13%</w:t>
            </w: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0.43</w:t>
            </w:r>
          </w:p>
        </w:tc>
        <w:tc>
          <w:tcPr>
            <w:tcW w:w="200" w:type="dxa"/>
            <w:vAlign w:val="bottom"/>
            <w:shd w:val="clear" w:color="auto" w:fill="CFF0FC"/>
          </w:tcPr>
          <w:p>
            <w:pPr>
              <w:spacing w:after="0"/>
              <w:rPr>
                <w:sz w:val="17"/>
                <w:szCs w:val="17"/>
                <w:color w:val="auto"/>
              </w:rPr>
            </w:pPr>
          </w:p>
        </w:tc>
        <w:tc>
          <w:tcPr>
            <w:tcW w:w="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0.53</w:t>
            </w:r>
          </w:p>
        </w:tc>
        <w:tc>
          <w:tcPr>
            <w:tcW w:w="2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03"/>
        </w:trPr>
        <w:tc>
          <w:tcPr>
            <w:tcW w:w="3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flow from operating activities</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17,416</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33,119</w:t>
            </w:r>
          </w:p>
        </w:tc>
        <w:tc>
          <w:tcPr>
            <w:tcW w:w="24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90%</w:t>
            </w: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48,438</w:t>
            </w:r>
          </w:p>
        </w:tc>
        <w:tc>
          <w:tcPr>
            <w:tcW w:w="200" w:type="dxa"/>
            <w:vAlign w:val="bottom"/>
            <w:shd w:val="clear" w:color="auto" w:fill="CFF0FC"/>
          </w:tcPr>
          <w:p>
            <w:pPr>
              <w:spacing w:after="0"/>
              <w:rPr>
                <w:sz w:val="17"/>
                <w:szCs w:val="17"/>
                <w:color w:val="auto"/>
              </w:rPr>
            </w:pPr>
          </w:p>
        </w:tc>
        <w:tc>
          <w:tcPr>
            <w:tcW w:w="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49,063</w:t>
            </w:r>
          </w:p>
        </w:tc>
        <w:tc>
          <w:tcPr>
            <w:tcW w:w="2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2"/>
        </w:trPr>
        <w:tc>
          <w:tcPr>
            <w:tcW w:w="39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As percentage of adjusted EBITDA</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i w:val="1"/>
                <w:iCs w:val="1"/>
                <w:color w:val="auto"/>
              </w:rPr>
              <w:t>65%</w:t>
            </w:r>
          </w:p>
        </w:tc>
        <w:tc>
          <w:tcPr>
            <w:tcW w:w="20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i w:val="1"/>
                <w:iCs w:val="1"/>
                <w:color w:val="auto"/>
              </w:rPr>
              <w:t>103%</w:t>
            </w: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i w:val="1"/>
                <w:iCs w:val="1"/>
                <w:color w:val="auto"/>
              </w:rPr>
              <w:t>94%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i w:val="1"/>
                <w:iCs w:val="1"/>
                <w:color w:val="auto"/>
              </w:rPr>
              <w:t>76%</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20" w:type="dxa"/>
            <w:vAlign w:val="bottom"/>
          </w:tcPr>
          <w:p>
            <w:pPr>
              <w:spacing w:after="0" w:line="203" w:lineRule="exact"/>
              <w:rPr>
                <w:sz w:val="20"/>
                <w:szCs w:val="20"/>
                <w:color w:val="auto"/>
              </w:rPr>
            </w:pPr>
            <w:r>
              <w:rPr>
                <w:rFonts w:ascii="Times New Roman" w:cs="Times New Roman" w:eastAsia="Times New Roman" w:hAnsi="Times New Roman"/>
                <w:sz w:val="16"/>
                <w:szCs w:val="16"/>
                <w:color w:val="auto"/>
              </w:rPr>
              <w:t xml:space="preserve">Free cash flow from operations </w:t>
            </w:r>
            <w:r>
              <w:rPr>
                <w:rFonts w:ascii="Times New Roman" w:cs="Times New Roman" w:eastAsia="Times New Roman" w:hAnsi="Times New Roman"/>
                <w:sz w:val="21"/>
                <w:szCs w:val="21"/>
                <w:color w:val="auto"/>
                <w:vertAlign w:val="superscript"/>
              </w:rPr>
              <w:t>(1)</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13,525</w:t>
            </w:r>
          </w:p>
        </w:tc>
        <w:tc>
          <w:tcPr>
            <w:tcW w:w="280" w:type="dxa"/>
            <w:vAlign w:val="bottom"/>
          </w:tcPr>
          <w:p>
            <w:pPr>
              <w:spacing w:after="0"/>
              <w:rPr>
                <w:sz w:val="17"/>
                <w:szCs w:val="17"/>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29,073</w:t>
            </w:r>
          </w:p>
        </w:tc>
        <w:tc>
          <w:tcPr>
            <w:tcW w:w="24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115%</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21,815</w:t>
            </w:r>
          </w:p>
        </w:tc>
        <w:tc>
          <w:tcPr>
            <w:tcW w:w="200" w:type="dxa"/>
            <w:vAlign w:val="bottom"/>
          </w:tcPr>
          <w:p>
            <w:pPr>
              <w:spacing w:after="0"/>
              <w:rPr>
                <w:sz w:val="17"/>
                <w:szCs w:val="17"/>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41,099</w:t>
            </w:r>
          </w:p>
        </w:tc>
        <w:tc>
          <w:tcPr>
            <w:tcW w:w="26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88%</w:t>
            </w:r>
          </w:p>
        </w:tc>
        <w:tc>
          <w:tcPr>
            <w:tcW w:w="0" w:type="dxa"/>
            <w:vAlign w:val="bottom"/>
          </w:tcPr>
          <w:p>
            <w:pPr>
              <w:spacing w:after="0"/>
              <w:rPr>
                <w:sz w:val="1"/>
                <w:szCs w:val="1"/>
                <w:color w:val="auto"/>
              </w:rPr>
            </w:pPr>
          </w:p>
        </w:tc>
      </w:tr>
      <w:tr>
        <w:trPr>
          <w:trHeight w:val="203"/>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i w:val="1"/>
                <w:iCs w:val="1"/>
                <w:color w:val="auto"/>
              </w:rPr>
              <w:t>As percentage of adjusted EBITDA</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i w:val="1"/>
                <w:iCs w:val="1"/>
                <w:color w:val="auto"/>
              </w:rPr>
              <w:t>51%</w:t>
            </w:r>
          </w:p>
        </w:tc>
        <w:tc>
          <w:tcPr>
            <w:tcW w:w="20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i w:val="1"/>
                <w:iCs w:val="1"/>
                <w:color w:val="auto"/>
              </w:rPr>
              <w:t>91%</w:t>
            </w:r>
          </w:p>
        </w:tc>
        <w:tc>
          <w:tcPr>
            <w:tcW w:w="9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i w:val="1"/>
                <w:iCs w:val="1"/>
                <w:color w:val="auto"/>
              </w:rPr>
              <w:t>42%</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i w:val="1"/>
                <w:iCs w:val="1"/>
                <w:color w:val="auto"/>
              </w:rPr>
              <w:t>64%</w:t>
            </w: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380" w:right="280" w:hanging="372"/>
        <w:spacing w:after="0" w:line="280" w:lineRule="auto"/>
        <w:tabs>
          <w:tab w:leader="none" w:pos="3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See the sections below titled </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Non-IFRS Financial Measures</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Reconciliations of Non-IFRS Financial Measures</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for explanations and reconciliations of non-IFRS financial measures.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Second Quarter 2025 and Recent Business Highlights</w:t>
      </w:r>
    </w:p>
    <w:p>
      <w:pPr>
        <w:spacing w:after="0" w:line="121" w:lineRule="exact"/>
        <w:rPr>
          <w:sz w:val="20"/>
          <w:szCs w:val="20"/>
          <w:color w:val="auto"/>
        </w:rPr>
      </w:pPr>
    </w:p>
    <w:p>
      <w:pPr>
        <w:ind w:left="760" w:hanging="378"/>
        <w:spacing w:after="0" w:line="282"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revenue grew 44% year-over-year to $92.9 million, representing 65% of total revenue, driven by continued strong momentum from e-commerce partners, which remained the fastest-growing vertical.</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Search revenue grew 11% year-over-year to $49.6 million, accounting for 35% of total revenue, supported by the ongoing shift of our user base toward higher-ARPU regions.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 had 289 million average monthly active users (“MAUs”) in the quarter, with annualized average revenue per user (“ARPU”) of $1.97, an increase of 35% versus the second quarter of 2024.</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 GX gaming browser had 33 million average MAUs in the quarter across PC and mobile, up 11% year-over-year.</w:t>
      </w:r>
    </w:p>
    <w:p>
      <w:pPr>
        <w:spacing w:after="0" w:line="117" w:lineRule="exact"/>
        <w:rPr>
          <w:rFonts w:ascii="Times New Roman" w:cs="Times New Roman" w:eastAsia="Times New Roman" w:hAnsi="Times New Roman"/>
          <w:sz w:val="18"/>
          <w:szCs w:val="18"/>
          <w:color w:val="auto"/>
        </w:rPr>
      </w:pPr>
    </w:p>
    <w:p>
      <w:pPr>
        <w:ind w:left="760" w:right="140" w:hanging="378"/>
        <w:spacing w:after="0" w:line="282"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flow from operating activities was $33.1 million, representing 103% of adjusted EBITDA. At quarter-end, cash and cash equivalents totaled $133.8 million.</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dividend of $0.40 per share under our recurring semi-annual dividend program was announced in June and paid in July.</w:t>
      </w:r>
    </w:p>
    <w:p>
      <w:pPr>
        <w:spacing w:after="0" w:line="117" w:lineRule="exact"/>
        <w:rPr>
          <w:rFonts w:ascii="Times New Roman" w:cs="Times New Roman" w:eastAsia="Times New Roman" w:hAnsi="Times New Roman"/>
          <w:sz w:val="18"/>
          <w:szCs w:val="18"/>
          <w:color w:val="auto"/>
        </w:rPr>
      </w:pPr>
    </w:p>
    <w:p>
      <w:pPr>
        <w:ind w:left="760" w:right="280" w:hanging="378"/>
        <w:spacing w:after="0" w:line="282"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 Neon, a new agentic browser that rethinks the role of the browser in the coming generation of the AI agentic web, was announced for public rollout later this year.</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MiniPay surpassed 9 million activated wallets and has processed over 250 million transactions since its launch, with a 255% activation surge in the second quarter, making it one of the fastest-growing non-custodial stablecoin wallets globally.</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VPN Pro was revamped to offer faster speeds, reinforced privacy and security, and more locations worldwide.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Second Quarter 2025 Financial Results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comparisons in this section are relative to the second quarter of 2024 unless otherwise stated.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Revenue </w:t>
      </w:r>
      <w:r>
        <w:rPr>
          <w:rFonts w:ascii="Times New Roman" w:cs="Times New Roman" w:eastAsia="Times New Roman" w:hAnsi="Times New Roman"/>
          <w:sz w:val="18"/>
          <w:szCs w:val="18"/>
          <w:color w:val="auto"/>
        </w:rPr>
        <w:t>increased 30% to $143.0 million.</w:t>
      </w:r>
    </w:p>
    <w:p>
      <w:pPr>
        <w:spacing w:after="0" w:line="121"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revenue increased 44% to $92.9 million.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Search revenue increased 11% to $49.6 million.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licensing and other revenue was $0.5 million.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Operating expenses </w:t>
      </w:r>
      <w:r>
        <w:rPr>
          <w:rFonts w:ascii="Times New Roman" w:cs="Times New Roman" w:eastAsia="Times New Roman" w:hAnsi="Times New Roman"/>
          <w:sz w:val="18"/>
          <w:szCs w:val="18"/>
          <w:color w:val="auto"/>
        </w:rPr>
        <w:t>increased 40% to $124.9 million.</w:t>
      </w:r>
    </w:p>
    <w:p>
      <w:pPr>
        <w:spacing w:after="0" w:line="121" w:lineRule="exact"/>
        <w:rPr>
          <w:sz w:val="20"/>
          <w:szCs w:val="20"/>
          <w:color w:val="auto"/>
        </w:rPr>
      </w:pPr>
    </w:p>
    <w:p>
      <w:pPr>
        <w:ind w:left="76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amount of technology and platform fees, content cost and cost of inventory sold, all being costs of revenue, was $50.9 million, or 36% of revenue, stable versus the first quarter of 2025.</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 expenses excluding share-based compensation increased 5% to $18.7 million.</w:t>
      </w:r>
    </w:p>
    <w:p>
      <w:pPr>
        <w:spacing w:after="0" w:line="117" w:lineRule="exact"/>
        <w:rPr>
          <w:rFonts w:ascii="Times New Roman" w:cs="Times New Roman" w:eastAsia="Times New Roman" w:hAnsi="Times New Roman"/>
          <w:sz w:val="18"/>
          <w:szCs w:val="18"/>
          <w:color w:val="auto"/>
        </w:rPr>
      </w:pPr>
    </w:p>
    <w:p>
      <w:pPr>
        <w:ind w:left="760" w:right="40" w:hanging="378"/>
        <w:spacing w:after="0" w:line="312" w:lineRule="auto"/>
        <w:tabs>
          <w:tab w:leader="none" w:pos="7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Share-based compensation expenses amounted to $8.8 million, a 354% increase versus $1.9 million in the second quarter of 2024. The increase follows the granting of approximately 1.9 million share-equivalent RSUs in early 2025 and front-loaded cost recognition of multi-year grants.</w:t>
      </w:r>
    </w:p>
    <w:p>
      <w:pPr>
        <w:spacing w:after="0" w:line="3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and distribution expenses increased 17% to $34.0 million, stable versus the first quarter of 2025.</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increased 15% to $4.6 million.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operating expenses decreased 7% to $8.0 million, mostly due to lower spend on professional services.</w:t>
      </w:r>
    </w:p>
    <w:p>
      <w:pPr>
        <w:spacing w:after="0" w:line="18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Operating profit </w:t>
      </w:r>
      <w:r>
        <w:rPr>
          <w:rFonts w:ascii="Times New Roman" w:cs="Times New Roman" w:eastAsia="Times New Roman" w:hAnsi="Times New Roman"/>
          <w:sz w:val="18"/>
          <w:szCs w:val="18"/>
          <w:color w:val="auto"/>
        </w:rPr>
        <w:t>was $18.1 million, representing a 13% margin, compared to an operating profit of $21.9 million and a margin of 20% in the second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2024.</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Net finance loss </w:t>
      </w:r>
      <w:r>
        <w:rPr>
          <w:rFonts w:ascii="Times New Roman" w:cs="Times New Roman" w:eastAsia="Times New Roman" w:hAnsi="Times New Roman"/>
          <w:sz w:val="18"/>
          <w:szCs w:val="18"/>
          <w:color w:val="auto"/>
        </w:rPr>
        <w:t>was $0.3 million, a result of foreign exchange loss of $1.0 million, partially offset by $0.7 million in net interest income.</w:t>
      </w:r>
    </w:p>
    <w:p>
      <w:pPr>
        <w:spacing w:after="0" w:line="18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Income tax expense </w:t>
      </w:r>
      <w:r>
        <w:rPr>
          <w:rFonts w:ascii="Times New Roman" w:cs="Times New Roman" w:eastAsia="Times New Roman" w:hAnsi="Times New Roman"/>
          <w:sz w:val="18"/>
          <w:szCs w:val="18"/>
          <w:color w:val="auto"/>
        </w:rPr>
        <w:t>was $2.1 million, corresponding to an effective tax rate of 12%, and representing 7% of adjusted EBITDA. This compares to income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tax expense of $2.8 million in the second quarter of 2024, representing 11% of adjusted EBITDA.</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Net income </w:t>
      </w:r>
      <w:r>
        <w:rPr>
          <w:rFonts w:ascii="Times New Roman" w:cs="Times New Roman" w:eastAsia="Times New Roman" w:hAnsi="Times New Roman"/>
          <w:sz w:val="18"/>
          <w:szCs w:val="18"/>
          <w:color w:val="auto"/>
        </w:rPr>
        <w:t>was $15.7 million, representing a 11% margin, compared to net income of $19.3 million and a margin of 18% in the second quarter of 2024.</w:t>
      </w:r>
    </w:p>
    <w:p>
      <w:pPr>
        <w:spacing w:after="0" w:line="198"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Adjusted net income </w:t>
      </w:r>
      <w:r>
        <w:rPr>
          <w:rFonts w:ascii="Times New Roman" w:cs="Times New Roman" w:eastAsia="Times New Roman" w:hAnsi="Times New Roman"/>
          <w:sz w:val="18"/>
          <w:szCs w:val="18"/>
          <w:color w:val="auto"/>
        </w:rPr>
        <w:t>was $23.7 million, representing a 17% margin and an increase of 14% relative to $20.8 million and a 19% margin in the second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2024.</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819" w:right="459" w:bottom="1440" w:gutter="0" w:footer="0" w:header="0"/>
        </w:sectPr>
      </w:pPr>
    </w:p>
    <w:bookmarkStart w:id="5" w:name="page6"/>
    <w:bookmarkEnd w:id="5"/>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18"/>
          <w:szCs w:val="18"/>
          <w:color w:val="auto"/>
        </w:rPr>
        <w:t>was $32.1 million, representing a 22% margin and an increase of 21% relative to $26.6 million and a 24% margin in the second quarter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2024.</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Diluted earnings per share </w:t>
      </w:r>
      <w:r>
        <w:rPr>
          <w:rFonts w:ascii="Times New Roman" w:cs="Times New Roman" w:eastAsia="Times New Roman" w:hAnsi="Times New Roman"/>
          <w:sz w:val="18"/>
          <w:szCs w:val="18"/>
          <w:color w:val="auto"/>
        </w:rPr>
        <w:t>was $0.17, whereas</w:t>
      </w:r>
      <w:r>
        <w:rPr>
          <w:rFonts w:ascii="Times New Roman" w:cs="Times New Roman" w:eastAsia="Times New Roman" w:hAnsi="Times New Roman"/>
          <w:sz w:val="18"/>
          <w:szCs w:val="18"/>
          <w:b w:val="1"/>
          <w:bCs w:val="1"/>
          <w:color w:val="auto"/>
        </w:rPr>
        <w:t xml:space="preserve"> adjusted diluted earnings per share </w:t>
      </w:r>
      <w:r>
        <w:rPr>
          <w:rFonts w:ascii="Times New Roman" w:cs="Times New Roman" w:eastAsia="Times New Roman" w:hAnsi="Times New Roman"/>
          <w:sz w:val="18"/>
          <w:szCs w:val="18"/>
          <w:color w:val="auto"/>
        </w:rPr>
        <w:t>was $0.26.</w:t>
      </w:r>
    </w:p>
    <w:p>
      <w:pPr>
        <w:spacing w:after="0" w:line="18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Net cash flow from operating activities </w:t>
      </w:r>
      <w:r>
        <w:rPr>
          <w:rFonts w:ascii="Times New Roman" w:cs="Times New Roman" w:eastAsia="Times New Roman" w:hAnsi="Times New Roman"/>
          <w:sz w:val="18"/>
          <w:szCs w:val="18"/>
          <w:color w:val="auto"/>
        </w:rPr>
        <w:t>was $33.1 million, or 103% of adjusted EBITDA.</w:t>
      </w:r>
      <w:r>
        <w:rPr>
          <w:rFonts w:ascii="Times New Roman" w:cs="Times New Roman" w:eastAsia="Times New Roman" w:hAnsi="Times New Roman"/>
          <w:sz w:val="18"/>
          <w:szCs w:val="18"/>
          <w:b w:val="1"/>
          <w:bCs w:val="1"/>
          <w:color w:val="auto"/>
        </w:rPr>
        <w:t xml:space="preserve"> Free cash flow from operations </w:t>
      </w:r>
      <w:r>
        <w:rPr>
          <w:rFonts w:ascii="Times New Roman" w:cs="Times New Roman" w:eastAsia="Times New Roman" w:hAnsi="Times New Roman"/>
          <w:sz w:val="18"/>
          <w:szCs w:val="18"/>
          <w:color w:val="auto"/>
        </w:rPr>
        <w:t>was $29.1 million, or 91%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adjusted EBITDA.</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Business Outlook</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20" w:type="dxa"/>
            <w:vAlign w:val="bottom"/>
          </w:tcPr>
          <w:p>
            <w:pPr>
              <w:spacing w:after="0"/>
              <w:rPr>
                <w:sz w:val="18"/>
                <w:szCs w:val="18"/>
                <w:color w:val="auto"/>
              </w:rPr>
            </w:pPr>
          </w:p>
        </w:tc>
        <w:tc>
          <w:tcPr>
            <w:tcW w:w="28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Third Quarter 2025 Guidance</w:t>
            </w:r>
          </w:p>
        </w:tc>
        <w:tc>
          <w:tcPr>
            <w:tcW w:w="320" w:type="dxa"/>
            <w:vAlign w:val="bottom"/>
          </w:tcPr>
          <w:p>
            <w:pPr>
              <w:spacing w:after="0"/>
              <w:rPr>
                <w:sz w:val="18"/>
                <w:szCs w:val="18"/>
                <w:color w:val="auto"/>
              </w:rPr>
            </w:pPr>
          </w:p>
        </w:tc>
        <w:tc>
          <w:tcPr>
            <w:tcW w:w="28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Full-Year 2025 Guidance</w:t>
            </w:r>
          </w:p>
        </w:tc>
        <w:tc>
          <w:tcPr>
            <w:tcW w:w="280" w:type="dxa"/>
            <w:vAlign w:val="bottom"/>
          </w:tcPr>
          <w:p>
            <w:pPr>
              <w:spacing w:after="0"/>
              <w:rPr>
                <w:sz w:val="18"/>
                <w:szCs w:val="18"/>
                <w:color w:val="auto"/>
              </w:rPr>
            </w:pPr>
          </w:p>
        </w:tc>
      </w:tr>
      <w:tr>
        <w:trPr>
          <w:trHeight w:val="162"/>
        </w:trPr>
        <w:tc>
          <w:tcPr>
            <w:tcW w:w="5020" w:type="dxa"/>
            <w:vAlign w:val="bottom"/>
          </w:tcPr>
          <w:p>
            <w:pPr>
              <w:spacing w:after="0" w:line="162" w:lineRule="exact"/>
              <w:rPr>
                <w:sz w:val="20"/>
                <w:szCs w:val="20"/>
                <w:color w:val="auto"/>
              </w:rPr>
            </w:pPr>
            <w:r>
              <w:rPr>
                <w:rFonts w:ascii="Times New Roman" w:cs="Times New Roman" w:eastAsia="Times New Roman" w:hAnsi="Times New Roman"/>
                <w:sz w:val="18"/>
                <w:szCs w:val="18"/>
                <w:color w:val="auto"/>
              </w:rPr>
              <w:t>Revenue</w:t>
            </w:r>
          </w:p>
        </w:tc>
        <w:tc>
          <w:tcPr>
            <w:tcW w:w="3140" w:type="dxa"/>
            <w:vAlign w:val="bottom"/>
            <w:gridSpan w:val="2"/>
          </w:tcPr>
          <w:p>
            <w:pPr>
              <w:jc w:val="right"/>
              <w:ind w:right="340"/>
              <w:spacing w:after="0" w:line="162" w:lineRule="exact"/>
              <w:rPr>
                <w:sz w:val="20"/>
                <w:szCs w:val="20"/>
                <w:color w:val="auto"/>
              </w:rPr>
            </w:pPr>
            <w:r>
              <w:rPr>
                <w:rFonts w:ascii="Times New Roman" w:cs="Times New Roman" w:eastAsia="Times New Roman" w:hAnsi="Times New Roman"/>
                <w:sz w:val="18"/>
                <w:szCs w:val="18"/>
                <w:color w:val="auto"/>
              </w:rPr>
              <w:t>$146 – 149 million</w:t>
            </w:r>
          </w:p>
        </w:tc>
        <w:tc>
          <w:tcPr>
            <w:tcW w:w="3080" w:type="dxa"/>
            <w:vAlign w:val="bottom"/>
            <w:gridSpan w:val="2"/>
          </w:tcPr>
          <w:p>
            <w:pPr>
              <w:jc w:val="right"/>
              <w:ind w:right="280"/>
              <w:spacing w:after="0" w:line="162" w:lineRule="exact"/>
              <w:rPr>
                <w:sz w:val="20"/>
                <w:szCs w:val="20"/>
                <w:color w:val="auto"/>
              </w:rPr>
            </w:pPr>
            <w:r>
              <w:rPr>
                <w:rFonts w:ascii="Times New Roman" w:cs="Times New Roman" w:eastAsia="Times New Roman" w:hAnsi="Times New Roman"/>
                <w:sz w:val="18"/>
                <w:szCs w:val="18"/>
                <w:color w:val="auto"/>
              </w:rPr>
              <w:t>$585 – 597 million</w:t>
            </w:r>
          </w:p>
        </w:tc>
      </w:tr>
      <w:tr>
        <w:trPr>
          <w:trHeight w:val="218"/>
        </w:trPr>
        <w:tc>
          <w:tcPr>
            <w:tcW w:w="5020" w:type="dxa"/>
            <w:vAlign w:val="bottom"/>
          </w:tcPr>
          <w:p>
            <w:pPr>
              <w:spacing w:after="0" w:line="218" w:lineRule="exact"/>
              <w:rPr>
                <w:sz w:val="20"/>
                <w:szCs w:val="20"/>
                <w:color w:val="auto"/>
              </w:rPr>
            </w:pPr>
            <w:r>
              <w:rPr>
                <w:rFonts w:ascii="Times New Roman" w:cs="Times New Roman" w:eastAsia="Times New Roman" w:hAnsi="Times New Roman"/>
                <w:sz w:val="18"/>
                <w:szCs w:val="18"/>
                <w:i w:val="1"/>
                <w:iCs w:val="1"/>
                <w:color w:val="auto"/>
              </w:rPr>
              <w:t xml:space="preserve">Year-over-year revenue growth </w:t>
            </w:r>
            <w:r>
              <w:rPr>
                <w:rFonts w:ascii="Times New Roman" w:cs="Times New Roman" w:eastAsia="Times New Roman" w:hAnsi="Times New Roman"/>
                <w:sz w:val="24"/>
                <w:szCs w:val="24"/>
                <w:i w:val="1"/>
                <w:iCs w:val="1"/>
                <w:color w:val="auto"/>
                <w:vertAlign w:val="superscript"/>
              </w:rPr>
              <w:t>(1)</w:t>
            </w:r>
          </w:p>
        </w:tc>
        <w:tc>
          <w:tcPr>
            <w:tcW w:w="3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i w:val="1"/>
                <w:iCs w:val="1"/>
                <w:color w:val="auto"/>
              </w:rPr>
              <w:t>20%</w:t>
            </w:r>
          </w:p>
        </w:tc>
        <w:tc>
          <w:tcPr>
            <w:tcW w:w="3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23%</w:t>
            </w:r>
          </w:p>
        </w:tc>
      </w:tr>
      <w:tr>
        <w:trPr>
          <w:trHeight w:val="214"/>
        </w:trPr>
        <w:tc>
          <w:tcPr>
            <w:tcW w:w="5020" w:type="dxa"/>
            <w:vAlign w:val="bottom"/>
          </w:tcPr>
          <w:p>
            <w:pPr>
              <w:spacing w:after="0" w:line="214" w:lineRule="exact"/>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4"/>
                <w:szCs w:val="24"/>
                <w:color w:val="auto"/>
                <w:vertAlign w:val="superscript"/>
              </w:rPr>
              <w:t>(2)</w:t>
            </w:r>
          </w:p>
        </w:tc>
        <w:tc>
          <w:tcPr>
            <w:tcW w:w="3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$34 – 36 million</w:t>
            </w:r>
          </w:p>
        </w:tc>
        <w:tc>
          <w:tcPr>
            <w:tcW w:w="3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$136 – 140 million</w:t>
            </w:r>
          </w:p>
        </w:tc>
      </w:tr>
      <w:tr>
        <w:trPr>
          <w:trHeight w:val="252"/>
        </w:trPr>
        <w:tc>
          <w:tcPr>
            <w:tcW w:w="5020" w:type="dxa"/>
            <w:vAlign w:val="bottom"/>
          </w:tcPr>
          <w:p>
            <w:pPr>
              <w:spacing w:after="0" w:line="251" w:lineRule="exact"/>
              <w:rPr>
                <w:sz w:val="20"/>
                <w:szCs w:val="20"/>
                <w:color w:val="auto"/>
              </w:rPr>
            </w:pPr>
            <w:r>
              <w:rPr>
                <w:rFonts w:ascii="Times New Roman" w:cs="Times New Roman" w:eastAsia="Times New Roman" w:hAnsi="Times New Roman"/>
                <w:sz w:val="18"/>
                <w:szCs w:val="18"/>
                <w:i w:val="1"/>
                <w:iCs w:val="1"/>
                <w:color w:val="auto"/>
              </w:rPr>
              <w:t xml:space="preserve">Adjusted EBITDA margin </w:t>
            </w:r>
            <w:r>
              <w:rPr>
                <w:rFonts w:ascii="Times New Roman" w:cs="Times New Roman" w:eastAsia="Times New Roman" w:hAnsi="Times New Roman"/>
                <w:sz w:val="24"/>
                <w:szCs w:val="24"/>
                <w:i w:val="1"/>
                <w:iCs w:val="1"/>
                <w:color w:val="auto"/>
                <w:vertAlign w:val="superscript"/>
              </w:rPr>
              <w:t>(1)</w:t>
            </w:r>
          </w:p>
        </w:tc>
        <w:tc>
          <w:tcPr>
            <w:tcW w:w="3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i w:val="1"/>
                <w:iCs w:val="1"/>
                <w:color w:val="auto"/>
              </w:rPr>
              <w:t>24%</w:t>
            </w:r>
          </w:p>
        </w:tc>
        <w:tc>
          <w:tcPr>
            <w:tcW w:w="3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23%</w:t>
            </w:r>
          </w:p>
        </w:tc>
      </w:tr>
      <w:tr>
        <w:trPr>
          <w:trHeight w:val="23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2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-685165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80" w:hanging="372"/>
        <w:spacing w:after="0"/>
        <w:tabs>
          <w:tab w:leader="none" w:pos="3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percentages shown for revenue growth and adjusted EBITDA margin have been calculated based on the midpoints of the revenue and adjusted EBITDA guidance.</w:t>
      </w:r>
    </w:p>
    <w:p>
      <w:pPr>
        <w:spacing w:after="0" w:line="12"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the section below titled “Non-IFRS Financial Measures” for explanations of non-IFRS financial measures.</w:t>
      </w:r>
    </w:p>
    <w:p>
      <w:pPr>
        <w:spacing w:after="0" w:line="18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saw significant acceleration in our revenue in the second half of last year, followed by unprecedented sequential growth from the seasonal peak of the fourth quarter of last year into the first quarter of this year. In this most recent quarter, we saw the expansion of global opportunities offset the impact of tariff-related headwinds in the United States,” said Frode Jacobsen, CFO.</w:t>
      </w:r>
    </w:p>
    <w:p>
      <w:pPr>
        <w:spacing w:after="0" w:line="13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“Our rapidly scaling advertising revenue has proven to be resilient in an otherwise volatile environment. We also saw search revenue return to double-digit growth as expected, which adds to our ability to significantly raise our guidance for the year,” continued Mr. Jacobsen.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Conference Call and Webcast Information</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Opera’s management will host a conference call to discuss the second quarter 2025 financial results at 8:00 a.m. ET today. The live webcast of the conference call can be accessed at our investor relations website at investor.opera.com, along with the earnings press release and financial tables. Following the call, a replay will be available at the same website.</w:t>
      </w:r>
    </w:p>
    <w:p>
      <w:pPr>
        <w:spacing w:after="0" w:line="13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also provide announcements on our investor relations website at investor.opera.com regarding our financial performance and other matters, including SEC filings, press releases, slide presentations, business blog posts and information on corporate governance.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Non-IFRS Financial Measures</w:t>
      </w:r>
    </w:p>
    <w:p>
      <w:pPr>
        <w:spacing w:after="0" w:line="18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addition to revenue, net income, net cash flow from operating activities and other financial measures presented in accordance with IFRS Accounting Standards, we use adjusted net income, adjusted EBITDA, adjusted diluted earnings per share and free cash flow from operations to manage our business, make planning decisions, evaluate our performance, and allocate resources. We believe adjusted net income, adjusted EBITDA and adjusted diluted earnings per share provide meaningful supplemental information regarding our financial performance by excluding certain items that may not be indicative of recurring core business operating results. We believe free cash flow from operations provides useful information regarding our ability to generate cash from business operations that is available for acquisitions and other investments, and for distributions to our shareholders, even though free cash flow from operations does not represent the residual cash flow available for discretionary expenditures.</w:t>
      </w:r>
    </w:p>
    <w:p>
      <w:pPr>
        <w:spacing w:after="0" w:line="14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define adjusted net income as net income excluding (i) profit (loss) from discontinued operations, (ii) gain (loss) on investments in unconsolidated entities, (iii) non-recurring expenses, (iv) impairment of non-financial assets, (v) amortization of acquired intangible assets, (vi) share-based compensation expenses, and (vii) the income tax effect of these adjustments. Adjusted net income margin is calculated as adjusted net income divided by revenue, whereas adjusted diluted earnings per share is calculated as adjusted net income divided by the diluted weighted average number of shares outstanding.</w:t>
      </w:r>
    </w:p>
    <w:p>
      <w:pPr>
        <w:spacing w:after="0" w:line="153"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We define adjusted EBITDA as net income excluding (i) profit (loss) from discontinued operations, (ii) income tax expense, (iii) net finance income (expense), (iv) gain (loss) on long-term investments in unconsolidated entities, (v) non-recurring expenses, (vi) impairment of non-financial assets, (vii) depreciation and amortization, (viii) share-based compensation expenses, and (ix) other operating income. Adjusted EBITDA margin is calculated as adjusted EBITDA divided by revenue.</w:t>
      </w:r>
    </w:p>
    <w:p>
      <w:pPr>
        <w:spacing w:after="0" w:line="139"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We define free cash flow from operations as net cash flows from (used in) operating activities less (i) purchases of fixed and intangible assets, (ii) development expenditure and (iii) payment of lease liabilities.</w:t>
      </w:r>
    </w:p>
    <w:p>
      <w:pPr>
        <w:spacing w:after="0" w:line="12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We believe the non-IFRS financial measures defined above are useful to investors both because they allow for greater transparency with respect to key metrics used by management in its financial and operational decision-making and because they are used by our</w:t>
      </w:r>
    </w:p>
    <w:p>
      <w:pPr>
        <w:sectPr>
          <w:pgSz w:w="11900" w:h="16838" w:orient="portrait"/>
          <w:cols w:equalWidth="0" w:num="1">
            <w:col w:w="11240"/>
          </w:cols>
          <w:pgMar w:left="320" w:top="819" w:right="339"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type w:val="continuous"/>
        </w:sectPr>
      </w:pPr>
    </w:p>
    <w:bookmarkStart w:id="6" w:name="page7"/>
    <w:bookmarkEnd w:id="6"/>
    <w:p>
      <w:pPr>
        <w:spacing w:after="0" w:line="254" w:lineRule="auto"/>
        <w:rPr>
          <w:sz w:val="20"/>
          <w:szCs w:val="20"/>
          <w:color w:val="auto"/>
        </w:rPr>
      </w:pPr>
      <w:r>
        <w:rPr>
          <w:rFonts w:ascii="Times New Roman" w:cs="Times New Roman" w:eastAsia="Times New Roman" w:hAnsi="Times New Roman"/>
          <w:sz w:val="18"/>
          <w:szCs w:val="18"/>
          <w:color w:val="auto"/>
        </w:rPr>
        <w:t>institutional investors and the analyst community to help them analyze the health of our business. However, these non-IFRS financial measures should not be considered substitutes for, or superior to, the financial information presented in accordance with IFRS Accounting Standards. Our calculations of adjusted net income, adjusted EBITDA, adjusted diluted earnings per share and free cash flow from operations may differ from similarly-titled non-IFRS measures, if any, reported by our peers. In addition, the non-IFRS financial measures may be limited in their usefulness because they do not present the full economic effects of certain items of income, expenses and cash flows. We compensate for these limitations by providing reconciliations of our non-IFRS financial measures to the most closely related financial measures in IFRS Accounting Standards in the section titled “Reconciliations of Non-IFRS Financial Measures” included at the end of this earnings press release. We encourage investors and others to review our financial information in its entirety, not to rely on any single financial measure and to view our reported non-IFRS financial measures in conjunction with net income and net cash flow from operating activities.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Safe Harbor Statement</w:t>
      </w:r>
    </w:p>
    <w:p>
      <w:pPr>
        <w:spacing w:after="0" w:line="189"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This press release contains statements of a forward-looking nature. These statements, including statements relating to the Company’s future financial and operating results, are made under the “safe harbor” provisions of the U.S. Private Securities Litigation Reform Act of 1995. You can identify these forward-looking statements by terminology such as “will,” “may,” “expect,” “believe,” “anticipate,” “intend,” “aim,” “estimate,” “seek,” “plan,” “potential,” “continue,” “ongoing,” “target,” “guidance,” “is/are likely to,” “future” and similar statements. Among other things, management’s quotations and the Business Outlook section contain forward-looking statements. The Company may also make forward-looking statements in its periodic reports to the U.S. Securities and Exchange Commission (the “SEC”), in press releases and other written materials and in oral statements made by its officers, directors or employees to third parties. These forward-looking statements involve known and unknown risks and uncertainties and are based on current expectations, assumptions, estimates and projections about the Company and the industry in which it operates. Potential risks and uncertainties include, but are not limited to, those relating to: implementations of tariffs and other trade-limiting policies, the duration and development of international wars and conflicts, such as in Ukraine and the Middle East, and related economic sanctions, as well as resulting changes in consumer behaviors; the outcome of regulatory processes or litigation involving the Company or its business partners; the Company and its goals and strategies; expected development and launch, and market acceptance, of products and services; Company’s expectations regarding demand for and market acceptance of its brands, platforms and services; Company’s expectations regarding changes in its user base, user retention and level of engagement; changes in consumer behavior, for example from increased adoption of AI powered services; Company’s ability to attract, retain and monetize users; Company’s ability to continue to develop new technologies, products and services and/or upgrade its existing technologies, products and services; quarterly variations in Company’s operating results caused by factors beyond its control; and global macroeconomic conditions and their potential impact in the markets in which the Company has business. All information provided in this press release is as of the date hereof and is based on assumptions that the Company believes to be reasonable as of this date, and it undertakes no obligation to update any forward-looking statements to reflect subsequent occurring events or circumstances, or changes in its expectations, except as may be required by law. Although the Company believes that the expectations expressed in these forward-looking statements are reasonable, it cannot assure you that its expectations will turn out to be correct, and investors are cautioned that actual results may differ materially from the anticipated results. Further information regarding risks and uncertainties faced by Opera is included in the Company’s filings with the SEC, including its annual reports on Form 20-F.</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Opera</w:t>
      </w:r>
    </w:p>
    <w:p>
      <w:pPr>
        <w:spacing w:after="0" w:line="18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Opera is a user-centric and innovative software company focused on enabling the best possible internet browsing experience across all devices. Hundreds of millions use the Opera web browsers for their unique and secure features on their mobile phones and desktop computers. Founded in 1995, and headquartered in Oslo, Norway, Opera is a public company listed on the Nasdaq stock exchange under the ticker symbol “OPRA”. Download the Opera web browser and access other Opera products from opera.com. Learn more about Opera at investor.opera.com.</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Matthew Wolfson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investor-relations@opera.com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press-team@opera.com</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Opera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 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60" w:type="dxa"/>
            <w:vAlign w:val="bottom"/>
            <w:gridSpan w:val="6"/>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20" w:type="dxa"/>
            <w:vAlign w:val="bottom"/>
            <w:gridSpan w:val="5"/>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12"/>
        </w:trPr>
        <w:tc>
          <w:tcPr>
            <w:tcW w:w="50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4"/>
          </w:tcPr>
          <w:p>
            <w:pPr>
              <w:jc w:val="center"/>
              <w:ind w:left="292"/>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center"/>
              <w:ind w:left="572"/>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0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22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109,734</w:t>
            </w:r>
          </w:p>
        </w:tc>
        <w:tc>
          <w:tcPr>
            <w:tcW w:w="16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142,962</w:t>
            </w:r>
          </w:p>
        </w:tc>
        <w:tc>
          <w:tcPr>
            <w:tcW w:w="1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211,605</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285,678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income</w:t>
            </w: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8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Technology and platform fees</w:t>
            </w: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(2,290)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(5,656)</w:t>
            </w:r>
          </w:p>
        </w:tc>
        <w:tc>
          <w:tcPr>
            <w:tcW w:w="2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(4,527)</w:t>
            </w:r>
          </w:p>
        </w:tc>
        <w:tc>
          <w:tcPr>
            <w:tcW w:w="0" w:type="dxa"/>
            <w:vAlign w:val="bottom"/>
          </w:tcPr>
          <w:p>
            <w:pPr>
              <w:spacing w:after="0"/>
              <w:rPr>
                <w:sz w:val="1"/>
                <w:szCs w:val="1"/>
                <w:color w:val="auto"/>
              </w:rPr>
            </w:pPr>
          </w:p>
        </w:tc>
      </w:tr>
      <w:tr>
        <w:trPr>
          <w:trHeight w:val="216"/>
        </w:trPr>
        <w:tc>
          <w:tcPr>
            <w:tcW w:w="5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Content cost</w:t>
            </w:r>
          </w:p>
        </w:tc>
        <w:tc>
          <w:tcPr>
            <w:tcW w:w="8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(901)</w:t>
            </w: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(1,517)</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(1,871)</w:t>
            </w:r>
          </w:p>
        </w:tc>
        <w:tc>
          <w:tcPr>
            <w:tcW w:w="2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(2,439)</w:t>
            </w:r>
          </w:p>
        </w:tc>
        <w:tc>
          <w:tcPr>
            <w:tcW w:w="0" w:type="dxa"/>
            <w:vAlign w:val="bottom"/>
          </w:tcPr>
          <w:p>
            <w:pPr>
              <w:spacing w:after="0"/>
              <w:rPr>
                <w:sz w:val="1"/>
                <w:szCs w:val="1"/>
                <w:color w:val="auto"/>
              </w:rPr>
            </w:pPr>
          </w:p>
        </w:tc>
      </w:tr>
      <w:tr>
        <w:trPr>
          <w:trHeight w:val="216"/>
        </w:trPr>
        <w:tc>
          <w:tcPr>
            <w:tcW w:w="5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inventory sold</w:t>
            </w: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(24,862)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(47,055)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(44,147)</w:t>
            </w:r>
          </w:p>
        </w:tc>
        <w:tc>
          <w:tcPr>
            <w:tcW w:w="2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(94,588)</w:t>
            </w:r>
          </w:p>
        </w:tc>
        <w:tc>
          <w:tcPr>
            <w:tcW w:w="0" w:type="dxa"/>
            <w:vAlign w:val="bottom"/>
          </w:tcPr>
          <w:p>
            <w:pPr>
              <w:spacing w:after="0"/>
              <w:rPr>
                <w:sz w:val="1"/>
                <w:szCs w:val="1"/>
                <w:color w:val="auto"/>
              </w:rPr>
            </w:pPr>
          </w:p>
        </w:tc>
      </w:tr>
      <w:tr>
        <w:trPr>
          <w:trHeight w:val="216"/>
        </w:trPr>
        <w:tc>
          <w:tcPr>
            <w:tcW w:w="5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Personnel expenses excluding share-based compensation</w:t>
            </w:r>
          </w:p>
        </w:tc>
        <w:tc>
          <w:tcPr>
            <w:tcW w:w="8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(17,848)</w:t>
            </w: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(18,657)</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(34,163)</w:t>
            </w:r>
          </w:p>
        </w:tc>
        <w:tc>
          <w:tcPr>
            <w:tcW w:w="2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(36,225)</w:t>
            </w:r>
          </w:p>
        </w:tc>
        <w:tc>
          <w:tcPr>
            <w:tcW w:w="0" w:type="dxa"/>
            <w:vAlign w:val="bottom"/>
          </w:tcPr>
          <w:p>
            <w:pPr>
              <w:spacing w:after="0"/>
              <w:rPr>
                <w:sz w:val="1"/>
                <w:szCs w:val="1"/>
                <w:color w:val="auto"/>
              </w:rPr>
            </w:pPr>
          </w:p>
        </w:tc>
      </w:tr>
      <w:tr>
        <w:trPr>
          <w:trHeight w:val="216"/>
        </w:trPr>
        <w:tc>
          <w:tcPr>
            <w:tcW w:w="5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(8,764)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(4,542)</w:t>
            </w:r>
          </w:p>
        </w:tc>
        <w:tc>
          <w:tcPr>
            <w:tcW w:w="2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(14,764)</w:t>
            </w:r>
          </w:p>
        </w:tc>
        <w:tc>
          <w:tcPr>
            <w:tcW w:w="0" w:type="dxa"/>
            <w:vAlign w:val="bottom"/>
          </w:tcPr>
          <w:p>
            <w:pPr>
              <w:spacing w:after="0"/>
              <w:rPr>
                <w:sz w:val="1"/>
                <w:szCs w:val="1"/>
                <w:color w:val="auto"/>
              </w:rPr>
            </w:pPr>
          </w:p>
        </w:tc>
      </w:tr>
      <w:tr>
        <w:trPr>
          <w:trHeight w:val="216"/>
        </w:trPr>
        <w:tc>
          <w:tcPr>
            <w:tcW w:w="5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Marketing and distribution expenses</w:t>
            </w:r>
          </w:p>
        </w:tc>
        <w:tc>
          <w:tcPr>
            <w:tcW w:w="8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(29,026)</w:t>
            </w: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(33,994)</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(58,491)</w:t>
            </w:r>
          </w:p>
        </w:tc>
        <w:tc>
          <w:tcPr>
            <w:tcW w:w="2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(68,198)</w:t>
            </w:r>
          </w:p>
        </w:tc>
        <w:tc>
          <w:tcPr>
            <w:tcW w:w="0" w:type="dxa"/>
            <w:vAlign w:val="bottom"/>
          </w:tcPr>
          <w:p>
            <w:pPr>
              <w:spacing w:after="0"/>
              <w:rPr>
                <w:sz w:val="1"/>
                <w:szCs w:val="1"/>
                <w:color w:val="auto"/>
              </w:rPr>
            </w:pPr>
          </w:p>
        </w:tc>
      </w:tr>
      <w:tr>
        <w:trPr>
          <w:trHeight w:val="216"/>
        </w:trPr>
        <w:tc>
          <w:tcPr>
            <w:tcW w:w="5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Credit loss expense</w:t>
            </w: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(4,012)</w:t>
            </w: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(4,634)</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(7,083)</w:t>
            </w:r>
          </w:p>
        </w:tc>
        <w:tc>
          <w:tcPr>
            <w:tcW w:w="2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(9,067)</w:t>
            </w:r>
          </w:p>
        </w:tc>
        <w:tc>
          <w:tcPr>
            <w:tcW w:w="0" w:type="dxa"/>
            <w:vAlign w:val="bottom"/>
          </w:tcPr>
          <w:p>
            <w:pPr>
              <w:spacing w:after="0"/>
              <w:rPr>
                <w:sz w:val="1"/>
                <w:szCs w:val="1"/>
                <w:color w:val="auto"/>
              </w:rPr>
            </w:pPr>
          </w:p>
        </w:tc>
      </w:tr>
      <w:tr>
        <w:trPr>
          <w:trHeight w:val="216"/>
        </w:trPr>
        <w:tc>
          <w:tcPr>
            <w:tcW w:w="5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Impairment of non-financial assets</w:t>
            </w: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(1,338)</w:t>
            </w:r>
          </w:p>
        </w:tc>
        <w:tc>
          <w:tcPr>
            <w:tcW w:w="0" w:type="dxa"/>
            <w:vAlign w:val="bottom"/>
          </w:tcPr>
          <w:p>
            <w:pPr>
              <w:spacing w:after="0"/>
              <w:rPr>
                <w:sz w:val="1"/>
                <w:szCs w:val="1"/>
                <w:color w:val="auto"/>
              </w:rPr>
            </w:pPr>
          </w:p>
        </w:tc>
      </w:tr>
      <w:tr>
        <w:trPr>
          <w:trHeight w:val="216"/>
        </w:trPr>
        <w:tc>
          <w:tcPr>
            <w:tcW w:w="5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8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(8,741)</w:t>
            </w: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(7,521)</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(15,965)</w:t>
            </w:r>
          </w:p>
        </w:tc>
        <w:tc>
          <w:tcPr>
            <w:tcW w:w="2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(15,354)</w:t>
            </w:r>
          </w:p>
        </w:tc>
        <w:tc>
          <w:tcPr>
            <w:tcW w:w="0" w:type="dxa"/>
            <w:vAlign w:val="bottom"/>
          </w:tcPr>
          <w:p>
            <w:pPr>
              <w:spacing w:after="0"/>
              <w:rPr>
                <w:sz w:val="1"/>
                <w:szCs w:val="1"/>
                <w:color w:val="auto"/>
              </w:rPr>
            </w:pPr>
          </w:p>
        </w:tc>
      </w:tr>
      <w:tr>
        <w:trPr>
          <w:trHeight w:val="20"/>
        </w:trPr>
        <w:tc>
          <w:tcPr>
            <w:tcW w:w="500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(89,072)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(124,870)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(171,711)</w:t>
            </w:r>
          </w:p>
        </w:tc>
        <w:tc>
          <w:tcPr>
            <w:tcW w:w="2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(246,496)</w:t>
            </w:r>
          </w:p>
        </w:tc>
        <w:tc>
          <w:tcPr>
            <w:tcW w:w="0" w:type="dxa"/>
            <w:vAlign w:val="bottom"/>
          </w:tcPr>
          <w:p>
            <w:pPr>
              <w:spacing w:after="0"/>
              <w:rPr>
                <w:sz w:val="1"/>
                <w:szCs w:val="1"/>
                <w:color w:val="auto"/>
              </w:rPr>
            </w:pPr>
          </w:p>
        </w:tc>
      </w:tr>
      <w:tr>
        <w:trPr>
          <w:trHeight w:val="209"/>
        </w:trPr>
        <w:tc>
          <w:tcPr>
            <w:tcW w:w="5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82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top w:val="single" w:sz="8" w:color="auto"/>
              <w:bottom w:val="single" w:sz="8" w:color="auto"/>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21,943</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18,109</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41,518</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39,184</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Share of net loss of equity-accounted investees</w:t>
            </w: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finance income (expense):</w:t>
            </w:r>
          </w:p>
        </w:tc>
        <w:tc>
          <w:tcPr>
            <w:tcW w:w="8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Finance income</w:t>
            </w: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Finance expense</w:t>
            </w:r>
          </w:p>
        </w:tc>
        <w:tc>
          <w:tcPr>
            <w:tcW w:w="8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(173)</w:t>
            </w: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(315)</w:t>
            </w:r>
          </w:p>
        </w:tc>
        <w:tc>
          <w:tcPr>
            <w:tcW w:w="2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16"/>
        </w:trPr>
        <w:tc>
          <w:tcPr>
            <w:tcW w:w="5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foreign exchange gain (loss)</w:t>
            </w: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(1,405)</w:t>
            </w:r>
          </w:p>
        </w:tc>
        <w:tc>
          <w:tcPr>
            <w:tcW w:w="2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(1,845)</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b w:val="1"/>
                <w:bCs w:val="1"/>
                <w:color w:val="auto"/>
              </w:rPr>
              <w:t>Net finance income (expense)</w:t>
            </w:r>
          </w:p>
        </w:tc>
        <w:tc>
          <w:tcPr>
            <w:tcW w:w="8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(615)</w:t>
            </w:r>
          </w:p>
        </w:tc>
        <w:tc>
          <w:tcPr>
            <w:tcW w:w="0" w:type="dxa"/>
            <w:vAlign w:val="bottom"/>
          </w:tcPr>
          <w:p>
            <w:pPr>
              <w:spacing w:after="0"/>
              <w:rPr>
                <w:sz w:val="1"/>
                <w:szCs w:val="1"/>
                <w:color w:val="auto"/>
              </w:rPr>
            </w:pPr>
          </w:p>
        </w:tc>
      </w:tr>
      <w:tr>
        <w:trPr>
          <w:trHeight w:val="210"/>
        </w:trPr>
        <w:tc>
          <w:tcPr>
            <w:tcW w:w="50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820" w:type="dxa"/>
            <w:vAlign w:val="bottom"/>
            <w:tcBorders>
              <w:top w:val="single" w:sz="8" w:color="CFF0FC"/>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22,128</w:t>
            </w:r>
          </w:p>
        </w:tc>
        <w:tc>
          <w:tcPr>
            <w:tcW w:w="16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17,763</w:t>
            </w: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41,596</w:t>
            </w:r>
          </w:p>
        </w:tc>
        <w:tc>
          <w:tcPr>
            <w:tcW w:w="26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38,553</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8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(2,825)</w:t>
            </w: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(2,087)</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(7,454)</w:t>
            </w:r>
          </w:p>
        </w:tc>
        <w:tc>
          <w:tcPr>
            <w:tcW w:w="2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(4,595)</w:t>
            </w:r>
          </w:p>
        </w:tc>
        <w:tc>
          <w:tcPr>
            <w:tcW w:w="0" w:type="dxa"/>
            <w:vAlign w:val="bottom"/>
          </w:tcPr>
          <w:p>
            <w:pPr>
              <w:spacing w:after="0"/>
              <w:rPr>
                <w:sz w:val="1"/>
                <w:szCs w:val="1"/>
                <w:color w:val="auto"/>
              </w:rPr>
            </w:pPr>
          </w:p>
        </w:tc>
      </w:tr>
      <w:tr>
        <w:trPr>
          <w:trHeight w:val="210"/>
        </w:trPr>
        <w:tc>
          <w:tcPr>
            <w:tcW w:w="50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Opera shareholders</w:t>
            </w:r>
          </w:p>
        </w:tc>
        <w:tc>
          <w:tcPr>
            <w:tcW w:w="820" w:type="dxa"/>
            <w:vAlign w:val="bottom"/>
            <w:tcBorders>
              <w:top w:val="single" w:sz="8" w:color="CFF0FC"/>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19,303</w:t>
            </w:r>
          </w:p>
        </w:tc>
        <w:tc>
          <w:tcPr>
            <w:tcW w:w="16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15,676</w:t>
            </w: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34,142</w:t>
            </w:r>
          </w:p>
        </w:tc>
        <w:tc>
          <w:tcPr>
            <w:tcW w:w="26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33,959</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22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6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2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60" w:type="dxa"/>
            <w:vAlign w:val="bottom"/>
          </w:tcPr>
          <w:p>
            <w:pPr>
              <w:spacing w:after="0"/>
              <w:rPr>
                <w:sz w:val="18"/>
                <w:szCs w:val="18"/>
                <w:color w:val="auto"/>
              </w:rPr>
            </w:pPr>
          </w:p>
        </w:tc>
        <w:tc>
          <w:tcPr>
            <w:tcW w:w="4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40" w:type="dxa"/>
            <w:vAlign w:val="bottom"/>
          </w:tcPr>
          <w:p>
            <w:pPr>
              <w:spacing w:after="0"/>
              <w:rPr>
                <w:sz w:val="18"/>
                <w:szCs w:val="18"/>
                <w:color w:val="auto"/>
              </w:rPr>
            </w:pP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260" w:type="dxa"/>
            <w:vAlign w:val="bottom"/>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Weighted-average number of shares outstanding:</w:t>
            </w:r>
          </w:p>
        </w:tc>
        <w:tc>
          <w:tcPr>
            <w:tcW w:w="8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88,458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89,505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88,455</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8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89,315</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90,316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89,303</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90,305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626"/>
        </w:trPr>
        <w:tc>
          <w:tcPr>
            <w:tcW w:w="5000" w:type="dxa"/>
            <w:vAlign w:val="bottom"/>
          </w:tcPr>
          <w:p>
            <w:pPr>
              <w:spacing w:after="0"/>
              <w:rPr>
                <w:sz w:val="24"/>
                <w:szCs w:val="24"/>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Opera Limited</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7580" w:type="dxa"/>
            <w:vAlign w:val="bottom"/>
            <w:gridSpan w:val="7"/>
          </w:tcPr>
          <w:p>
            <w:pPr>
              <w:jc w:val="center"/>
              <w:ind w:left="3570"/>
              <w:spacing w:after="0"/>
              <w:rPr>
                <w:sz w:val="20"/>
                <w:szCs w:val="20"/>
                <w:color w:val="auto"/>
              </w:rPr>
            </w:pPr>
            <w:r>
              <w:rPr>
                <w:rFonts w:ascii="Times New Roman" w:cs="Times New Roman" w:eastAsia="Times New Roman" w:hAnsi="Times New Roman"/>
                <w:sz w:val="18"/>
                <w:szCs w:val="18"/>
                <w:b w:val="1"/>
                <w:bCs w:val="1"/>
                <w:color w:val="auto"/>
                <w:w w:val="99"/>
              </w:rPr>
              <w:t>Consolidated Statement of Comprehensive Income</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120" w:type="dxa"/>
            <w:vAlign w:val="bottom"/>
            <w:gridSpan w:val="5"/>
          </w:tcPr>
          <w:p>
            <w:pPr>
              <w:jc w:val="center"/>
              <w:ind w:left="4050"/>
              <w:spacing w:after="0"/>
              <w:rPr>
                <w:sz w:val="20"/>
                <w:szCs w:val="20"/>
                <w:color w:val="auto"/>
              </w:rPr>
            </w:pPr>
            <w:r>
              <w:rPr>
                <w:rFonts w:ascii="Times New Roman" w:cs="Times New Roman" w:eastAsia="Times New Roman" w:hAnsi="Times New Roman"/>
                <w:sz w:val="18"/>
                <w:szCs w:val="18"/>
                <w:i w:val="1"/>
                <w:iCs w:val="1"/>
                <w:color w:val="auto"/>
              </w:rPr>
              <w:t>(In thousands, unaudited)</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3"/>
        </w:trPr>
        <w:tc>
          <w:tcPr>
            <w:tcW w:w="5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60" w:type="dxa"/>
            <w:vAlign w:val="bottom"/>
            <w:gridSpan w:val="6"/>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5"/>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15"/>
        </w:trPr>
        <w:tc>
          <w:tcPr>
            <w:tcW w:w="50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4"/>
          </w:tcPr>
          <w:p>
            <w:pPr>
              <w:jc w:val="center"/>
              <w:ind w:left="292"/>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center"/>
              <w:ind w:left="572"/>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0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2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19,303</w:t>
            </w:r>
          </w:p>
        </w:tc>
        <w:tc>
          <w:tcPr>
            <w:tcW w:w="16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15,676</w:t>
            </w:r>
          </w:p>
        </w:tc>
        <w:tc>
          <w:tcPr>
            <w:tcW w:w="1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34,142</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33,959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Items that may be reclassified to the Statement of Operations:</w:t>
            </w:r>
          </w:p>
        </w:tc>
        <w:tc>
          <w:tcPr>
            <w:tcW w:w="8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Exchange differences on translation of foreign operations</w:t>
            </w: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(165)</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8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(165)</w:t>
            </w: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attributable to Opera shareholders</w:t>
            </w:r>
          </w:p>
        </w:tc>
        <w:tc>
          <w:tcPr>
            <w:tcW w:w="820" w:type="dxa"/>
            <w:vAlign w:val="bottom"/>
            <w:tcBorders>
              <w:top w:val="single" w:sz="8" w:color="CFF0FC"/>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19,384</w:t>
            </w:r>
          </w:p>
        </w:tc>
        <w:tc>
          <w:tcPr>
            <w:tcW w:w="16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17,636</w:t>
            </w: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33,978</w:t>
            </w:r>
          </w:p>
        </w:tc>
        <w:tc>
          <w:tcPr>
            <w:tcW w:w="26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37,072</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820" w:type="dxa"/>
            <w:vAlign w:val="bottom"/>
            <w:vMerge w:val="restart"/>
          </w:tcPr>
          <w:p>
            <w:pPr>
              <w:jc w:val="center"/>
              <w:ind w:left="330"/>
              <w:spacing w:after="0"/>
              <w:rPr>
                <w:sz w:val="20"/>
                <w:szCs w:val="20"/>
                <w:color w:val="auto"/>
              </w:rPr>
            </w:pPr>
            <w:r>
              <w:rPr>
                <w:rFonts w:ascii="Times New Roman" w:cs="Times New Roman" w:eastAsia="Times New Roman" w:hAnsi="Times New Roman"/>
                <w:sz w:val="18"/>
                <w:szCs w:val="18"/>
                <w:color w:val="auto"/>
                <w:w w:val="88"/>
              </w:rPr>
              <w:t>5</w:t>
            </w: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5000" w:type="dxa"/>
            <w:vAlign w:val="bottom"/>
          </w:tcPr>
          <w:p>
            <w:pPr>
              <w:spacing w:after="0"/>
              <w:rPr>
                <w:sz w:val="24"/>
                <w:szCs w:val="24"/>
                <w:color w:val="auto"/>
              </w:rPr>
            </w:pPr>
          </w:p>
        </w:tc>
        <w:tc>
          <w:tcPr>
            <w:tcW w:w="8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50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-5374005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-5374005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-5374005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-5374005</wp:posOffset>
            </wp:positionV>
            <wp:extent cx="774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-5082540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-5082540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-5082540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-5082540</wp:posOffset>
            </wp:positionV>
            <wp:extent cx="774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-4242435</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-4242435</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-4242435</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-4242435</wp:posOffset>
            </wp:positionV>
            <wp:extent cx="774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-3950970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-3950970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-3950970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-3950970</wp:posOffset>
            </wp:positionV>
            <wp:extent cx="774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-899160</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-899160</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-899160</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-899160</wp:posOffset>
            </wp:positionV>
            <wp:extent cx="774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Opera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Financial Position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220" w:type="dxa"/>
            <w:vAlign w:val="bottom"/>
          </w:tcPr>
          <w:p>
            <w:pPr>
              <w:spacing w:after="0"/>
              <w:rPr>
                <w:sz w:val="17"/>
                <w:szCs w:val="17"/>
                <w:color w:val="auto"/>
              </w:rPr>
            </w:pPr>
          </w:p>
        </w:tc>
        <w:tc>
          <w:tcPr>
            <w:tcW w:w="156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As of June 30,</w:t>
            </w:r>
          </w:p>
        </w:tc>
        <w:tc>
          <w:tcPr>
            <w:tcW w:w="0" w:type="dxa"/>
            <w:vAlign w:val="bottom"/>
          </w:tcPr>
          <w:p>
            <w:pPr>
              <w:spacing w:after="0"/>
              <w:rPr>
                <w:sz w:val="1"/>
                <w:szCs w:val="1"/>
                <w:color w:val="auto"/>
              </w:rPr>
            </w:pPr>
          </w:p>
        </w:tc>
      </w:tr>
      <w:tr>
        <w:trPr>
          <w:trHeight w:val="215"/>
        </w:trPr>
        <w:tc>
          <w:tcPr>
            <w:tcW w:w="47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w:t>
            </w:r>
          </w:p>
        </w:tc>
        <w:tc>
          <w:tcPr>
            <w:tcW w:w="2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34,058</w:t>
            </w:r>
          </w:p>
        </w:tc>
        <w:tc>
          <w:tcPr>
            <w:tcW w:w="22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2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429,742</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430,504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2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97,509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Investment in OPay</w:t>
            </w:r>
          </w:p>
        </w:tc>
        <w:tc>
          <w:tcPr>
            <w:tcW w:w="2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258,300</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258,300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Equity-accounted investments</w:t>
            </w:r>
          </w:p>
        </w:tc>
        <w:tc>
          <w:tcPr>
            <w:tcW w:w="2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non-current investments and financial assets</w:t>
            </w:r>
          </w:p>
        </w:tc>
        <w:tc>
          <w:tcPr>
            <w:tcW w:w="2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tax assets</w:t>
            </w:r>
          </w:p>
        </w:tc>
        <w:tc>
          <w:tcPr>
            <w:tcW w:w="26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26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823,681</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826,683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Trade receivables</w:t>
            </w:r>
          </w:p>
        </w:tc>
        <w:tc>
          <w:tcPr>
            <w:tcW w:w="2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92,823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current receivables</w:t>
            </w:r>
          </w:p>
        </w:tc>
        <w:tc>
          <w:tcPr>
            <w:tcW w:w="2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4,560</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126,797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26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7,724</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6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231,904</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243,005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1,055,585</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1,069,688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760" w:type="dxa"/>
            <w:vAlign w:val="bottom"/>
            <w:tcBorders>
              <w:top w:val="single" w:sz="8" w:color="CFF0FC"/>
            </w:tcBorders>
          </w:tcPr>
          <w:p>
            <w:pPr>
              <w:spacing w:after="0"/>
              <w:rPr>
                <w:sz w:val="17"/>
                <w:szCs w:val="17"/>
                <w:color w:val="auto"/>
              </w:rPr>
            </w:pPr>
          </w:p>
        </w:tc>
        <w:tc>
          <w:tcPr>
            <w:tcW w:w="268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 capital</w:t>
            </w:r>
          </w:p>
        </w:tc>
        <w:tc>
          <w:tcPr>
            <w:tcW w:w="2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647,212</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611,818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Treasury shares</w:t>
            </w:r>
          </w:p>
        </w:tc>
        <w:tc>
          <w:tcPr>
            <w:tcW w:w="2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(238,815)</w:t>
            </w:r>
          </w:p>
        </w:tc>
        <w:tc>
          <w:tcPr>
            <w:tcW w:w="22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(238,815)</w:t>
            </w: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2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536,623</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584,566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reserve</w:t>
            </w:r>
          </w:p>
        </w:tc>
        <w:tc>
          <w:tcPr>
            <w:tcW w:w="2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(4,938)</w:t>
            </w:r>
          </w:p>
        </w:tc>
        <w:tc>
          <w:tcPr>
            <w:tcW w:w="22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(1,825)</w:t>
            </w:r>
          </w:p>
        </w:tc>
        <w:tc>
          <w:tcPr>
            <w:tcW w:w="0" w:type="dxa"/>
            <w:vAlign w:val="bottom"/>
          </w:tcPr>
          <w:p>
            <w:pPr>
              <w:spacing w:after="0"/>
              <w:rPr>
                <w:sz w:val="1"/>
                <w:szCs w:val="1"/>
                <w:color w:val="auto"/>
              </w:rPr>
            </w:pPr>
          </w:p>
        </w:tc>
      </w:tr>
      <w:tr>
        <w:trPr>
          <w:trHeight w:val="209"/>
        </w:trPr>
        <w:tc>
          <w:tcPr>
            <w:tcW w:w="476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b w:val="1"/>
                <w:bCs w:val="1"/>
                <w:color w:val="auto"/>
              </w:rPr>
              <w:t>Total equity attributable to Opera shareholders</w:t>
            </w:r>
          </w:p>
        </w:tc>
        <w:tc>
          <w:tcPr>
            <w:tcW w:w="26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940,100</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955,761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Non-current lease liabilities</w:t>
            </w:r>
          </w:p>
        </w:tc>
        <w:tc>
          <w:tcPr>
            <w:tcW w:w="2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5,631</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6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26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14,391</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Trade and other payables</w:t>
            </w:r>
          </w:p>
        </w:tc>
        <w:tc>
          <w:tcPr>
            <w:tcW w:w="2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75,285</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79,179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2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Income tax payable</w:t>
            </w:r>
          </w:p>
        </w:tc>
        <w:tc>
          <w:tcPr>
            <w:tcW w:w="2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3,190</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2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6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13,222</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9,871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6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101,093</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tcBorders>
              <w:bottom w:val="single" w:sz="8" w:color="CFF0FC"/>
            </w:tcBorders>
            <w:shd w:val="clear" w:color="auto" w:fill="CFF0FC"/>
          </w:tcPr>
          <w:p>
            <w:pPr>
              <w:ind w:left="40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6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115,484</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113,927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2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1,055,585</w:t>
            </w:r>
          </w:p>
        </w:tc>
        <w:tc>
          <w:tcPr>
            <w:tcW w:w="22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1,069,688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680" w:type="dxa"/>
            <w:vAlign w:val="bottom"/>
            <w:vMerge w:val="restart"/>
          </w:tcPr>
          <w:p>
            <w:pPr>
              <w:jc w:val="right"/>
              <w:ind w:right="169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476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476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-4568190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-4568190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-4011295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-4011295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-3719830</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-3702685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-3719830</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-3702685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-2588260</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-2588260</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-2030730</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-2030730</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-1190625</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-1190625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-899160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-899160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Opera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number of shares, 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six months ended June 30, 2024:</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w w:val="99"/>
              </w:rPr>
              <w:t>Foreign</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Total equity</w:t>
            </w:r>
          </w:p>
        </w:tc>
      </w:tr>
      <w:tr>
        <w:trPr>
          <w:trHeight w:val="162"/>
        </w:trPr>
        <w:tc>
          <w:tcPr>
            <w:tcW w:w="3260" w:type="dxa"/>
            <w:vAlign w:val="bottom"/>
          </w:tcPr>
          <w:p>
            <w:pPr>
              <w:spacing w:after="0"/>
              <w:rPr>
                <w:sz w:val="14"/>
                <w:szCs w:val="14"/>
                <w:color w:val="auto"/>
              </w:rPr>
            </w:pPr>
          </w:p>
        </w:tc>
        <w:tc>
          <w:tcPr>
            <w:tcW w:w="102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Number of</w:t>
            </w: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3"/>
          </w:tcPr>
          <w:p>
            <w:pPr>
              <w:jc w:val="center"/>
              <w:ind w:right="200"/>
              <w:spacing w:after="0" w:line="162" w:lineRule="exact"/>
              <w:rPr>
                <w:sz w:val="20"/>
                <w:szCs w:val="20"/>
                <w:color w:val="auto"/>
              </w:rPr>
            </w:pPr>
            <w:r>
              <w:rPr>
                <w:rFonts w:ascii="Times New Roman" w:cs="Times New Roman" w:eastAsia="Times New Roman" w:hAnsi="Times New Roman"/>
                <w:sz w:val="15"/>
                <w:szCs w:val="15"/>
                <w:b w:val="1"/>
                <w:bCs w:val="1"/>
                <w:color w:val="auto"/>
              </w:rPr>
              <w:t>Additional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5"/>
                <w:szCs w:val="15"/>
                <w:b w:val="1"/>
                <w:bCs w:val="1"/>
                <w:color w:val="auto"/>
              </w:rPr>
              <w:t>currency</w:t>
            </w:r>
          </w:p>
        </w:tc>
        <w:tc>
          <w:tcPr>
            <w:tcW w:w="80" w:type="dxa"/>
            <w:vAlign w:val="bottom"/>
          </w:tcPr>
          <w:p>
            <w:pPr>
              <w:spacing w:after="0"/>
              <w:rPr>
                <w:sz w:val="14"/>
                <w:szCs w:val="14"/>
                <w:color w:val="auto"/>
              </w:rPr>
            </w:pPr>
          </w:p>
        </w:tc>
        <w:tc>
          <w:tcPr>
            <w:tcW w:w="1120" w:type="dxa"/>
            <w:vAlign w:val="bottom"/>
            <w:gridSpan w:val="3"/>
          </w:tcPr>
          <w:p>
            <w:pPr>
              <w:jc w:val="center"/>
              <w:ind w:right="160"/>
              <w:spacing w:after="0" w:line="162" w:lineRule="exact"/>
              <w:rPr>
                <w:sz w:val="20"/>
                <w:szCs w:val="20"/>
                <w:color w:val="auto"/>
              </w:rPr>
            </w:pPr>
            <w:r>
              <w:rPr>
                <w:rFonts w:ascii="Times New Roman" w:cs="Times New Roman" w:eastAsia="Times New Roman" w:hAnsi="Times New Roman"/>
                <w:sz w:val="15"/>
                <w:szCs w:val="15"/>
                <w:b w:val="1"/>
                <w:bCs w:val="1"/>
                <w:color w:val="auto"/>
              </w:rPr>
              <w:t>attributable to</w:t>
            </w:r>
          </w:p>
        </w:tc>
      </w:tr>
      <w:tr>
        <w:trPr>
          <w:trHeight w:val="162"/>
        </w:trPr>
        <w:tc>
          <w:tcPr>
            <w:tcW w:w="3260" w:type="dxa"/>
            <w:vAlign w:val="bottom"/>
          </w:tcPr>
          <w:p>
            <w:pPr>
              <w:spacing w:after="0"/>
              <w:rPr>
                <w:sz w:val="14"/>
                <w:szCs w:val="14"/>
                <w:color w:val="auto"/>
              </w:rPr>
            </w:pPr>
          </w:p>
        </w:tc>
        <w:tc>
          <w:tcPr>
            <w:tcW w:w="102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shares</w:t>
            </w: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5"/>
                <w:szCs w:val="15"/>
                <w:b w:val="1"/>
                <w:bCs w:val="1"/>
                <w:color w:val="auto"/>
              </w:rPr>
              <w:t>paid-in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300"/>
              <w:spacing w:after="0" w:line="162" w:lineRule="exact"/>
              <w:rPr>
                <w:sz w:val="20"/>
                <w:szCs w:val="20"/>
                <w:color w:val="auto"/>
              </w:rPr>
            </w:pPr>
            <w:r>
              <w:rPr>
                <w:rFonts w:ascii="Times New Roman" w:cs="Times New Roman" w:eastAsia="Times New Roman" w:hAnsi="Times New Roman"/>
                <w:sz w:val="15"/>
                <w:szCs w:val="15"/>
                <w:b w:val="1"/>
                <w:bCs w:val="1"/>
                <w:color w:val="auto"/>
              </w:rPr>
              <w:t>Treasury</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100"/>
              <w:spacing w:after="0" w:line="162" w:lineRule="exact"/>
              <w:rPr>
                <w:sz w:val="20"/>
                <w:szCs w:val="20"/>
                <w:color w:val="auto"/>
              </w:rPr>
            </w:pPr>
            <w:r>
              <w:rPr>
                <w:rFonts w:ascii="Times New Roman" w:cs="Times New Roman" w:eastAsia="Times New Roman" w:hAnsi="Times New Roman"/>
                <w:sz w:val="15"/>
                <w:szCs w:val="15"/>
                <w:b w:val="1"/>
                <w:bCs w:val="1"/>
                <w:color w:val="auto"/>
              </w:rPr>
              <w:t>Retained</w:t>
            </w:r>
          </w:p>
        </w:tc>
        <w:tc>
          <w:tcPr>
            <w:tcW w:w="220" w:type="dxa"/>
            <w:vAlign w:val="bottom"/>
          </w:tcPr>
          <w:p>
            <w:pPr>
              <w:spacing w:after="0"/>
              <w:rPr>
                <w:sz w:val="14"/>
                <w:szCs w:val="14"/>
                <w:color w:val="auto"/>
              </w:rPr>
            </w:pPr>
          </w:p>
        </w:tc>
        <w:tc>
          <w:tcPr>
            <w:tcW w:w="1020" w:type="dxa"/>
            <w:vAlign w:val="bottom"/>
            <w:gridSpan w:val="3"/>
          </w:tcPr>
          <w:p>
            <w:pPr>
              <w:jc w:val="center"/>
              <w:ind w:right="200"/>
              <w:spacing w:after="0" w:line="162" w:lineRule="exact"/>
              <w:rPr>
                <w:sz w:val="20"/>
                <w:szCs w:val="20"/>
                <w:color w:val="auto"/>
              </w:rPr>
            </w:pPr>
            <w:r>
              <w:rPr>
                <w:rFonts w:ascii="Times New Roman" w:cs="Times New Roman" w:eastAsia="Times New Roman" w:hAnsi="Times New Roman"/>
                <w:sz w:val="15"/>
                <w:szCs w:val="15"/>
                <w:b w:val="1"/>
                <w:bCs w:val="1"/>
                <w:color w:val="auto"/>
                <w:w w:val="99"/>
              </w:rPr>
              <w:t>translation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5"/>
                <w:szCs w:val="15"/>
                <w:b w:val="1"/>
                <w:bCs w:val="1"/>
                <w:color w:val="auto"/>
                <w:w w:val="97"/>
              </w:rPr>
              <w:t>Opera</w:t>
            </w:r>
          </w:p>
        </w:tc>
      </w:tr>
      <w:tr>
        <w:trPr>
          <w:trHeight w:val="183"/>
        </w:trPr>
        <w:tc>
          <w:tcPr>
            <w:tcW w:w="326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outstanding</w:t>
            </w:r>
          </w:p>
        </w:tc>
        <w:tc>
          <w:tcPr>
            <w:tcW w:w="260" w:type="dxa"/>
            <w:vAlign w:val="bottom"/>
          </w:tcPr>
          <w:p>
            <w:pPr>
              <w:spacing w:after="0"/>
              <w:rPr>
                <w:sz w:val="15"/>
                <w:szCs w:val="15"/>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Share capital</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5"/>
                <w:szCs w:val="15"/>
                <w:b w:val="1"/>
                <w:bCs w:val="1"/>
                <w:color w:val="auto"/>
                <w:w w:val="98"/>
              </w:rPr>
              <w:t>reserve</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shareholders</w:t>
            </w:r>
          </w:p>
        </w:tc>
        <w:tc>
          <w:tcPr>
            <w:tcW w:w="100" w:type="dxa"/>
            <w:vAlign w:val="bottom"/>
          </w:tcPr>
          <w:p>
            <w:pPr>
              <w:spacing w:after="0"/>
              <w:rPr>
                <w:sz w:val="15"/>
                <w:szCs w:val="15"/>
                <w:color w:val="auto"/>
              </w:rPr>
            </w:pPr>
          </w:p>
        </w:tc>
      </w:tr>
      <w:tr>
        <w:trPr>
          <w:trHeight w:val="196"/>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 of January 1, 2024</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87,518,284</w:t>
            </w:r>
          </w:p>
        </w:tc>
        <w:tc>
          <w:tcPr>
            <w:tcW w:w="660" w:type="dxa"/>
            <w:vAlign w:val="bottom"/>
            <w:gridSpan w:val="2"/>
            <w:shd w:val="clear" w:color="auto" w:fill="CFF0FC"/>
          </w:tcPr>
          <w:p>
            <w:pPr>
              <w:jc w:val="right"/>
              <w:ind w:right="244"/>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717,610</w:t>
            </w:r>
          </w:p>
        </w:tc>
        <w:tc>
          <w:tcPr>
            <w:tcW w:w="140" w:type="dxa"/>
            <w:vAlign w:val="bottom"/>
            <w:shd w:val="clear" w:color="auto" w:fill="CFF0FC"/>
          </w:tcPr>
          <w:p>
            <w:pPr>
              <w:spacing w:after="0"/>
              <w:rPr>
                <w:sz w:val="17"/>
                <w:szCs w:val="17"/>
                <w:color w:val="auto"/>
              </w:rPr>
            </w:pP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(238,815)</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445,164</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(4,127)</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919,850</w:t>
            </w:r>
          </w:p>
        </w:tc>
        <w:tc>
          <w:tcPr>
            <w:tcW w:w="100" w:type="dxa"/>
            <w:vAlign w:val="bottom"/>
            <w:shd w:val="clear" w:color="auto" w:fill="CFF0FC"/>
          </w:tcPr>
          <w:p>
            <w:pPr>
              <w:spacing w:after="0"/>
              <w:rPr>
                <w:sz w:val="17"/>
                <w:szCs w:val="17"/>
                <w:color w:val="auto"/>
              </w:rPr>
            </w:pPr>
          </w:p>
        </w:tc>
      </w:tr>
      <w:tr>
        <w:trPr>
          <w:trHeight w:val="203"/>
        </w:trPr>
        <w:tc>
          <w:tcPr>
            <w:tcW w:w="32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Net income</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34,142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34,142</w:t>
            </w:r>
          </w:p>
        </w:tc>
        <w:tc>
          <w:tcPr>
            <w:tcW w:w="100" w:type="dxa"/>
            <w:vAlign w:val="bottom"/>
          </w:tcPr>
          <w:p>
            <w:pPr>
              <w:spacing w:after="0"/>
              <w:rPr>
                <w:sz w:val="17"/>
                <w:szCs w:val="17"/>
                <w:color w:val="auto"/>
              </w:rPr>
            </w:pPr>
          </w:p>
        </w:tc>
      </w:tr>
      <w:tr>
        <w:trPr>
          <w:trHeight w:val="203"/>
        </w:trPr>
        <w:tc>
          <w:tcPr>
            <w:tcW w:w="3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(165)</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(165)</w:t>
            </w:r>
          </w:p>
        </w:tc>
      </w:tr>
      <w:tr>
        <w:trPr>
          <w:trHeight w:val="203"/>
        </w:trPr>
        <w:tc>
          <w:tcPr>
            <w:tcW w:w="32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Cost of equity awards, net of tax</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3,625</w:t>
            </w:r>
          </w:p>
        </w:tc>
        <w:tc>
          <w:tcPr>
            <w:tcW w:w="100" w:type="dxa"/>
            <w:vAlign w:val="bottom"/>
          </w:tcPr>
          <w:p>
            <w:pPr>
              <w:spacing w:after="0"/>
              <w:rPr>
                <w:sz w:val="17"/>
                <w:szCs w:val="17"/>
                <w:color w:val="auto"/>
              </w:rPr>
            </w:pPr>
          </w:p>
        </w:tc>
      </w:tr>
      <w:tr>
        <w:trPr>
          <w:trHeight w:val="189"/>
        </w:trPr>
        <w:tc>
          <w:tcPr>
            <w:tcW w:w="3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Issuance of shares upon exercise of equity</w:t>
            </w:r>
          </w:p>
        </w:tc>
        <w:tc>
          <w:tcPr>
            <w:tcW w:w="10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3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awards</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947,495</w:t>
            </w: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2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Dividends</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(35,007)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(35,007)</w:t>
            </w:r>
          </w:p>
        </w:tc>
      </w:tr>
      <w:tr>
        <w:trPr>
          <w:trHeight w:val="20"/>
        </w:trPr>
        <w:tc>
          <w:tcPr>
            <w:tcW w:w="32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 of June 30, 2024</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88,465,779</w:t>
            </w:r>
          </w:p>
        </w:tc>
        <w:tc>
          <w:tcPr>
            <w:tcW w:w="660" w:type="dxa"/>
            <w:vAlign w:val="bottom"/>
            <w:gridSpan w:val="2"/>
            <w:shd w:val="clear" w:color="auto" w:fill="CFF0FC"/>
          </w:tcPr>
          <w:p>
            <w:pPr>
              <w:jc w:val="right"/>
              <w:ind w:right="244"/>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682,603</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(238,815)</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482,931</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(4,292)</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922,445</w:t>
            </w:r>
          </w:p>
        </w:tc>
        <w:tc>
          <w:tcPr>
            <w:tcW w:w="100" w:type="dxa"/>
            <w:vAlign w:val="bottom"/>
            <w:shd w:val="clear" w:color="auto" w:fill="CFF0FC"/>
          </w:tcPr>
          <w:p>
            <w:pPr>
              <w:spacing w:after="0"/>
              <w:rPr>
                <w:sz w:val="18"/>
                <w:szCs w:val="18"/>
                <w:color w:val="auto"/>
              </w:rPr>
            </w:pPr>
          </w:p>
        </w:tc>
      </w:tr>
      <w:tr>
        <w:trPr>
          <w:trHeight w:val="20"/>
        </w:trPr>
        <w:tc>
          <w:tcPr>
            <w:tcW w:w="326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-25400</wp:posOffset>
            </wp:positionV>
            <wp:extent cx="768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-8255</wp:posOffset>
            </wp:positionV>
            <wp:extent cx="7683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-25400</wp:posOffset>
            </wp:positionV>
            <wp:extent cx="774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-8255</wp:posOffset>
            </wp:positionV>
            <wp:extent cx="7747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-25400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-8255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-25400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-8255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-25400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-8255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-25400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-8255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six months ended June 30, 2025:</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380"/>
              <w:spacing w:after="0"/>
              <w:rPr>
                <w:sz w:val="20"/>
                <w:szCs w:val="20"/>
                <w:color w:val="auto"/>
              </w:rPr>
            </w:pPr>
            <w:r>
              <w:rPr>
                <w:rFonts w:ascii="Times New Roman" w:cs="Times New Roman" w:eastAsia="Times New Roman" w:hAnsi="Times New Roman"/>
                <w:sz w:val="15"/>
                <w:szCs w:val="15"/>
                <w:b w:val="1"/>
                <w:bCs w:val="1"/>
                <w:color w:val="auto"/>
                <w:w w:val="99"/>
              </w:rPr>
              <w:t>Foreign</w:t>
            </w:r>
          </w:p>
        </w:tc>
        <w:tc>
          <w:tcPr>
            <w:tcW w:w="1100" w:type="dxa"/>
            <w:vAlign w:val="bottom"/>
            <w:gridSpan w:val="3"/>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Total equity</w:t>
            </w:r>
          </w:p>
        </w:tc>
      </w:tr>
      <w:tr>
        <w:trPr>
          <w:trHeight w:val="162"/>
        </w:trPr>
        <w:tc>
          <w:tcPr>
            <w:tcW w:w="3280" w:type="dxa"/>
            <w:vAlign w:val="bottom"/>
          </w:tcPr>
          <w:p>
            <w:pPr>
              <w:spacing w:after="0"/>
              <w:rPr>
                <w:sz w:val="14"/>
                <w:szCs w:val="14"/>
                <w:color w:val="auto"/>
              </w:rPr>
            </w:pPr>
          </w:p>
        </w:tc>
        <w:tc>
          <w:tcPr>
            <w:tcW w:w="102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Number of</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3"/>
          </w:tcPr>
          <w:p>
            <w:pPr>
              <w:jc w:val="center"/>
              <w:ind w:right="260"/>
              <w:spacing w:after="0" w:line="162" w:lineRule="exact"/>
              <w:rPr>
                <w:sz w:val="20"/>
                <w:szCs w:val="20"/>
                <w:color w:val="auto"/>
              </w:rPr>
            </w:pPr>
            <w:r>
              <w:rPr>
                <w:rFonts w:ascii="Times New Roman" w:cs="Times New Roman" w:eastAsia="Times New Roman" w:hAnsi="Times New Roman"/>
                <w:sz w:val="15"/>
                <w:szCs w:val="15"/>
                <w:b w:val="1"/>
                <w:bCs w:val="1"/>
                <w:color w:val="auto"/>
              </w:rPr>
              <w:t>Additional</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380"/>
              <w:spacing w:after="0" w:line="162" w:lineRule="exact"/>
              <w:rPr>
                <w:sz w:val="20"/>
                <w:szCs w:val="20"/>
                <w:color w:val="auto"/>
              </w:rPr>
            </w:pPr>
            <w:r>
              <w:rPr>
                <w:rFonts w:ascii="Times New Roman" w:cs="Times New Roman" w:eastAsia="Times New Roman" w:hAnsi="Times New Roman"/>
                <w:sz w:val="15"/>
                <w:szCs w:val="15"/>
                <w:b w:val="1"/>
                <w:bCs w:val="1"/>
                <w:color w:val="auto"/>
              </w:rPr>
              <w:t>currency</w:t>
            </w:r>
          </w:p>
        </w:tc>
        <w:tc>
          <w:tcPr>
            <w:tcW w:w="1100" w:type="dxa"/>
            <w:vAlign w:val="bottom"/>
            <w:gridSpan w:val="3"/>
          </w:tcPr>
          <w:p>
            <w:pPr>
              <w:jc w:val="center"/>
              <w:ind w:right="160"/>
              <w:spacing w:after="0" w:line="162" w:lineRule="exact"/>
              <w:rPr>
                <w:sz w:val="20"/>
                <w:szCs w:val="20"/>
                <w:color w:val="auto"/>
              </w:rPr>
            </w:pPr>
            <w:r>
              <w:rPr>
                <w:rFonts w:ascii="Times New Roman" w:cs="Times New Roman" w:eastAsia="Times New Roman" w:hAnsi="Times New Roman"/>
                <w:sz w:val="15"/>
                <w:szCs w:val="15"/>
                <w:b w:val="1"/>
                <w:bCs w:val="1"/>
                <w:color w:val="auto"/>
              </w:rPr>
              <w:t>attributable to</w:t>
            </w:r>
          </w:p>
        </w:tc>
      </w:tr>
      <w:tr>
        <w:trPr>
          <w:trHeight w:val="162"/>
        </w:trPr>
        <w:tc>
          <w:tcPr>
            <w:tcW w:w="3280" w:type="dxa"/>
            <w:vAlign w:val="bottom"/>
          </w:tcPr>
          <w:p>
            <w:pPr>
              <w:spacing w:after="0"/>
              <w:rPr>
                <w:sz w:val="14"/>
                <w:szCs w:val="14"/>
                <w:color w:val="auto"/>
              </w:rPr>
            </w:pPr>
          </w:p>
        </w:tc>
        <w:tc>
          <w:tcPr>
            <w:tcW w:w="102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shares</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400"/>
              <w:spacing w:after="0" w:line="162" w:lineRule="exact"/>
              <w:rPr>
                <w:sz w:val="20"/>
                <w:szCs w:val="20"/>
                <w:color w:val="auto"/>
              </w:rPr>
            </w:pPr>
            <w:r>
              <w:rPr>
                <w:rFonts w:ascii="Times New Roman" w:cs="Times New Roman" w:eastAsia="Times New Roman" w:hAnsi="Times New Roman"/>
                <w:sz w:val="15"/>
                <w:szCs w:val="15"/>
                <w:b w:val="1"/>
                <w:bCs w:val="1"/>
                <w:color w:val="auto"/>
              </w:rPr>
              <w:t>paid-in</w:t>
            </w:r>
          </w:p>
        </w:tc>
        <w:tc>
          <w:tcPr>
            <w:tcW w:w="100" w:type="dxa"/>
            <w:vAlign w:val="bottom"/>
          </w:tcPr>
          <w:p>
            <w:pPr>
              <w:spacing w:after="0"/>
              <w:rPr>
                <w:sz w:val="14"/>
                <w:szCs w:val="14"/>
                <w:color w:val="auto"/>
              </w:rPr>
            </w:pPr>
          </w:p>
        </w:tc>
        <w:tc>
          <w:tcPr>
            <w:tcW w:w="1000" w:type="dxa"/>
            <w:vAlign w:val="bottom"/>
            <w:gridSpan w:val="2"/>
          </w:tcPr>
          <w:p>
            <w:pPr>
              <w:jc w:val="right"/>
              <w:ind w:right="380"/>
              <w:spacing w:after="0" w:line="162" w:lineRule="exact"/>
              <w:rPr>
                <w:sz w:val="20"/>
                <w:szCs w:val="20"/>
                <w:color w:val="auto"/>
              </w:rPr>
            </w:pPr>
            <w:r>
              <w:rPr>
                <w:rFonts w:ascii="Times New Roman" w:cs="Times New Roman" w:eastAsia="Times New Roman" w:hAnsi="Times New Roman"/>
                <w:sz w:val="15"/>
                <w:szCs w:val="15"/>
                <w:b w:val="1"/>
                <w:bCs w:val="1"/>
                <w:color w:val="auto"/>
              </w:rPr>
              <w:t>Treasury</w:t>
            </w:r>
          </w:p>
        </w:tc>
        <w:tc>
          <w:tcPr>
            <w:tcW w:w="100" w:type="dxa"/>
            <w:vAlign w:val="bottom"/>
          </w:tcPr>
          <w:p>
            <w:pPr>
              <w:spacing w:after="0"/>
              <w:rPr>
                <w:sz w:val="14"/>
                <w:szCs w:val="14"/>
                <w:color w:val="auto"/>
              </w:rPr>
            </w:pPr>
          </w:p>
        </w:tc>
        <w:tc>
          <w:tcPr>
            <w:tcW w:w="780" w:type="dxa"/>
            <w:vAlign w:val="bottom"/>
          </w:tcPr>
          <w:p>
            <w:pPr>
              <w:jc w:val="right"/>
              <w:ind w:right="80"/>
              <w:spacing w:after="0" w:line="162" w:lineRule="exact"/>
              <w:rPr>
                <w:sz w:val="20"/>
                <w:szCs w:val="20"/>
                <w:color w:val="auto"/>
              </w:rPr>
            </w:pPr>
            <w:r>
              <w:rPr>
                <w:rFonts w:ascii="Times New Roman" w:cs="Times New Roman" w:eastAsia="Times New Roman" w:hAnsi="Times New Roman"/>
                <w:sz w:val="15"/>
                <w:szCs w:val="15"/>
                <w:b w:val="1"/>
                <w:bCs w:val="1"/>
                <w:color w:val="auto"/>
              </w:rPr>
              <w:t>Retained</w:t>
            </w:r>
          </w:p>
        </w:tc>
        <w:tc>
          <w:tcPr>
            <w:tcW w:w="220" w:type="dxa"/>
            <w:vAlign w:val="bottom"/>
          </w:tcPr>
          <w:p>
            <w:pPr>
              <w:spacing w:after="0"/>
              <w:rPr>
                <w:sz w:val="14"/>
                <w:szCs w:val="14"/>
                <w:color w:val="auto"/>
              </w:rPr>
            </w:pPr>
          </w:p>
        </w:tc>
        <w:tc>
          <w:tcPr>
            <w:tcW w:w="1120" w:type="dxa"/>
            <w:vAlign w:val="bottom"/>
            <w:gridSpan w:val="3"/>
          </w:tcPr>
          <w:p>
            <w:pPr>
              <w:jc w:val="center"/>
              <w:ind w:right="280"/>
              <w:spacing w:after="0" w:line="162" w:lineRule="exact"/>
              <w:rPr>
                <w:sz w:val="20"/>
                <w:szCs w:val="20"/>
                <w:color w:val="auto"/>
              </w:rPr>
            </w:pPr>
            <w:r>
              <w:rPr>
                <w:rFonts w:ascii="Times New Roman" w:cs="Times New Roman" w:eastAsia="Times New Roman" w:hAnsi="Times New Roman"/>
                <w:sz w:val="15"/>
                <w:szCs w:val="15"/>
                <w:b w:val="1"/>
                <w:bCs w:val="1"/>
                <w:color w:val="auto"/>
              </w:rPr>
              <w:t>translation</w:t>
            </w:r>
          </w:p>
        </w:tc>
        <w:tc>
          <w:tcPr>
            <w:tcW w:w="160" w:type="dxa"/>
            <w:vAlign w:val="bottom"/>
          </w:tcPr>
          <w:p>
            <w:pPr>
              <w:spacing w:after="0"/>
              <w:rPr>
                <w:sz w:val="14"/>
                <w:szCs w:val="14"/>
                <w:color w:val="auto"/>
              </w:rPr>
            </w:pPr>
          </w:p>
        </w:tc>
        <w:tc>
          <w:tcPr>
            <w:tcW w:w="94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5"/>
                <w:szCs w:val="15"/>
                <w:b w:val="1"/>
                <w:bCs w:val="1"/>
                <w:color w:val="auto"/>
              </w:rPr>
              <w:t>Opera</w:t>
            </w:r>
          </w:p>
        </w:tc>
      </w:tr>
      <w:tr>
        <w:trPr>
          <w:trHeight w:val="183"/>
        </w:trPr>
        <w:tc>
          <w:tcPr>
            <w:tcW w:w="328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outstanding</w:t>
            </w:r>
          </w:p>
        </w:tc>
        <w:tc>
          <w:tcPr>
            <w:tcW w:w="240" w:type="dxa"/>
            <w:vAlign w:val="bottom"/>
          </w:tcPr>
          <w:p>
            <w:pPr>
              <w:spacing w:after="0"/>
              <w:rPr>
                <w:sz w:val="15"/>
                <w:szCs w:val="15"/>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Share capital</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reserve</w:t>
            </w:r>
          </w:p>
        </w:tc>
        <w:tc>
          <w:tcPr>
            <w:tcW w:w="220" w:type="dxa"/>
            <w:vAlign w:val="bottom"/>
          </w:tcPr>
          <w:p>
            <w:pPr>
              <w:spacing w:after="0"/>
              <w:rPr>
                <w:sz w:val="15"/>
                <w:szCs w:val="15"/>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shareholders</w:t>
            </w:r>
          </w:p>
        </w:tc>
        <w:tc>
          <w:tcPr>
            <w:tcW w:w="100" w:type="dxa"/>
            <w:vAlign w:val="bottom"/>
          </w:tcPr>
          <w:p>
            <w:pPr>
              <w:spacing w:after="0"/>
              <w:rPr>
                <w:sz w:val="15"/>
                <w:szCs w:val="15"/>
                <w:color w:val="auto"/>
              </w:rPr>
            </w:pPr>
          </w:p>
        </w:tc>
      </w:tr>
      <w:tr>
        <w:trPr>
          <w:trHeight w:val="196"/>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 of January 1, 2025</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88,480,154</w:t>
            </w:r>
          </w:p>
        </w:tc>
        <w:tc>
          <w:tcPr>
            <w:tcW w:w="660" w:type="dxa"/>
            <w:vAlign w:val="bottom"/>
            <w:gridSpan w:val="2"/>
            <w:shd w:val="clear" w:color="auto" w:fill="CFF0FC"/>
          </w:tcPr>
          <w:p>
            <w:pPr>
              <w:jc w:val="right"/>
              <w:ind w:right="261"/>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647,212</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(238,815)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536,623</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(4,938)</w:t>
            </w:r>
          </w:p>
        </w:tc>
        <w:tc>
          <w:tcPr>
            <w:tcW w:w="16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940,100</w:t>
            </w:r>
          </w:p>
        </w:tc>
        <w:tc>
          <w:tcPr>
            <w:tcW w:w="100" w:type="dxa"/>
            <w:vAlign w:val="bottom"/>
            <w:shd w:val="clear" w:color="auto" w:fill="CFF0FC"/>
          </w:tcPr>
          <w:p>
            <w:pPr>
              <w:spacing w:after="0"/>
              <w:rPr>
                <w:sz w:val="17"/>
                <w:szCs w:val="17"/>
                <w:color w:val="auto"/>
              </w:rPr>
            </w:pPr>
          </w:p>
        </w:tc>
      </w:tr>
      <w:tr>
        <w:trPr>
          <w:trHeight w:val="203"/>
        </w:trPr>
        <w:tc>
          <w:tcPr>
            <w:tcW w:w="32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Net income</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33,959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33,959</w:t>
            </w:r>
          </w:p>
        </w:tc>
        <w:tc>
          <w:tcPr>
            <w:tcW w:w="100" w:type="dxa"/>
            <w:vAlign w:val="bottom"/>
          </w:tcPr>
          <w:p>
            <w:pPr>
              <w:spacing w:after="0"/>
              <w:rPr>
                <w:sz w:val="17"/>
                <w:szCs w:val="17"/>
                <w:color w:val="auto"/>
              </w:rPr>
            </w:pPr>
          </w:p>
        </w:tc>
      </w:tr>
      <w:tr>
        <w:trPr>
          <w:trHeight w:val="203"/>
        </w:trPr>
        <w:tc>
          <w:tcPr>
            <w:tcW w:w="3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3,113</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3,113</w:t>
            </w:r>
          </w:p>
        </w:tc>
        <w:tc>
          <w:tcPr>
            <w:tcW w:w="100" w:type="dxa"/>
            <w:vAlign w:val="bottom"/>
            <w:shd w:val="clear" w:color="auto" w:fill="CFF0FC"/>
          </w:tcPr>
          <w:p>
            <w:pPr>
              <w:spacing w:after="0"/>
              <w:rPr>
                <w:sz w:val="17"/>
                <w:szCs w:val="17"/>
                <w:color w:val="auto"/>
              </w:rPr>
            </w:pPr>
          </w:p>
        </w:tc>
      </w:tr>
      <w:tr>
        <w:trPr>
          <w:trHeight w:val="203"/>
        </w:trPr>
        <w:tc>
          <w:tcPr>
            <w:tcW w:w="32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Cost of equity awards, net of tax</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13,984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13,984</w:t>
            </w:r>
          </w:p>
        </w:tc>
        <w:tc>
          <w:tcPr>
            <w:tcW w:w="100" w:type="dxa"/>
            <w:vAlign w:val="bottom"/>
          </w:tcPr>
          <w:p>
            <w:pPr>
              <w:spacing w:after="0"/>
              <w:rPr>
                <w:sz w:val="17"/>
                <w:szCs w:val="17"/>
                <w:color w:val="auto"/>
              </w:rPr>
            </w:pPr>
          </w:p>
        </w:tc>
      </w:tr>
      <w:tr>
        <w:trPr>
          <w:trHeight w:val="189"/>
        </w:trPr>
        <w:tc>
          <w:tcPr>
            <w:tcW w:w="3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Issuance of shares upon exercise of equity</w:t>
            </w:r>
          </w:p>
        </w:tc>
        <w:tc>
          <w:tcPr>
            <w:tcW w:w="10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3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awards</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1,033,137</w:t>
            </w: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2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Dividends</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(35,395)</w:t>
            </w:r>
          </w:p>
        </w:tc>
        <w:tc>
          <w:tcPr>
            <w:tcW w:w="10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(35,395)</w:t>
            </w:r>
          </w:p>
        </w:tc>
      </w:tr>
      <w:tr>
        <w:trPr>
          <w:trHeight w:val="20"/>
        </w:trPr>
        <w:tc>
          <w:tcPr>
            <w:tcW w:w="32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 of June 30, 2025</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89,513,291</w:t>
            </w: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61"/>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611,818</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(238,815)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584,566</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(1,825)</w:t>
            </w:r>
          </w:p>
        </w:tc>
        <w:tc>
          <w:tcPr>
            <w:tcW w:w="16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955,761</w:t>
            </w:r>
          </w:p>
        </w:tc>
        <w:tc>
          <w:tcPr>
            <w:tcW w:w="100" w:type="dxa"/>
            <w:vAlign w:val="bottom"/>
            <w:shd w:val="clear" w:color="auto" w:fill="CFF0FC"/>
          </w:tcPr>
          <w:p>
            <w:pPr>
              <w:spacing w:after="0"/>
              <w:rPr>
                <w:sz w:val="18"/>
                <w:szCs w:val="18"/>
                <w:color w:val="auto"/>
              </w:rPr>
            </w:pPr>
          </w:p>
        </w:tc>
      </w:tr>
      <w:tr>
        <w:trPr>
          <w:trHeight w:val="20"/>
        </w:trPr>
        <w:tc>
          <w:tcPr>
            <w:tcW w:w="328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-24765</wp:posOffset>
            </wp:positionV>
            <wp:extent cx="768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-7620</wp:posOffset>
            </wp:positionV>
            <wp:extent cx="768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-24765</wp:posOffset>
            </wp:positionV>
            <wp:extent cx="768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-7620</wp:posOffset>
            </wp:positionV>
            <wp:extent cx="768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-24765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-7620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-24765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-7620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-24765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-7620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-24765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-7620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Opera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0" w:type="dxa"/>
            <w:vAlign w:val="bottom"/>
            <w:gridSpan w:val="6"/>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20" w:type="dxa"/>
            <w:vAlign w:val="bottom"/>
            <w:gridSpan w:val="5"/>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12"/>
        </w:trPr>
        <w:tc>
          <w:tcPr>
            <w:tcW w:w="5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5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22,128</w:t>
            </w:r>
          </w:p>
        </w:tc>
        <w:tc>
          <w:tcPr>
            <w:tcW w:w="160" w:type="dxa"/>
            <w:vAlign w:val="bottom"/>
          </w:tcPr>
          <w:p>
            <w:pPr>
              <w:spacing w:after="0"/>
              <w:rPr>
                <w:sz w:val="18"/>
                <w:szCs w:val="18"/>
                <w:color w:val="auto"/>
              </w:rPr>
            </w:pPr>
          </w:p>
        </w:tc>
        <w:tc>
          <w:tcPr>
            <w:tcW w:w="3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17,763</w:t>
            </w:r>
          </w:p>
        </w:tc>
        <w:tc>
          <w:tcPr>
            <w:tcW w:w="140" w:type="dxa"/>
            <w:vAlign w:val="bottom"/>
          </w:tcPr>
          <w:p>
            <w:pPr>
              <w:spacing w:after="0"/>
              <w:rPr>
                <w:sz w:val="18"/>
                <w:szCs w:val="18"/>
                <w:color w:val="auto"/>
              </w:rPr>
            </w:pP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41,596</w:t>
            </w:r>
          </w:p>
        </w:tc>
        <w:tc>
          <w:tcPr>
            <w:tcW w:w="260" w:type="dxa"/>
            <w:vAlign w:val="bottom"/>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540" w:type="dxa"/>
            <w:vAlign w:val="bottom"/>
            <w:shd w:val="clear" w:color="auto" w:fill="CFF0FC"/>
          </w:tcPr>
          <w:p>
            <w:pPr>
              <w:ind w:left="120"/>
              <w:spacing w:after="0" w:line="195" w:lineRule="exact"/>
              <w:rPr>
                <w:sz w:val="20"/>
                <w:szCs w:val="20"/>
                <w:color w:val="auto"/>
              </w:rPr>
            </w:pPr>
            <w:r>
              <w:rPr>
                <w:rFonts w:ascii="Times New Roman" w:cs="Times New Roman" w:eastAsia="Times New Roman" w:hAnsi="Times New Roman"/>
                <w:sz w:val="18"/>
                <w:szCs w:val="18"/>
                <w:i w:val="1"/>
                <w:iCs w:val="1"/>
                <w:color w:val="auto"/>
              </w:rPr>
              <w:t>Adjustments to reconcile income before income taxes to net cash flow from</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i w:val="1"/>
                <w:iCs w:val="1"/>
                <w:color w:val="auto"/>
              </w:rPr>
              <w:t>operating activities:</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finance (income) expense</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(79)</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Share of net loss of equity-accounted investees</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Impairment of non-financial assets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4,012</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4,634</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7,083</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equity awards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4,222</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Other adjustments</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(945)</w:t>
            </w:r>
          </w:p>
        </w:tc>
        <w:tc>
          <w:tcPr>
            <w:tcW w:w="0" w:type="dxa"/>
            <w:vAlign w:val="bottom"/>
          </w:tcPr>
          <w:p>
            <w:pPr>
              <w:spacing w:after="0"/>
              <w:rPr>
                <w:sz w:val="1"/>
                <w:szCs w:val="1"/>
                <w:color w:val="auto"/>
              </w:rPr>
            </w:pPr>
          </w:p>
        </w:tc>
      </w:tr>
      <w:tr>
        <w:trPr>
          <w:trHeight w:val="216"/>
        </w:trPr>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Changes in working capital:</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Trade and other receivables</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(1,759)</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6,532</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(5,723)</w:t>
            </w:r>
          </w:p>
        </w:tc>
        <w:tc>
          <w:tcPr>
            <w:tcW w:w="0" w:type="dxa"/>
            <w:vAlign w:val="bottom"/>
          </w:tcPr>
          <w:p>
            <w:pPr>
              <w:spacing w:after="0"/>
              <w:rPr>
                <w:sz w:val="1"/>
                <w:szCs w:val="1"/>
                <w:color w:val="auto"/>
              </w:rPr>
            </w:pPr>
          </w:p>
        </w:tc>
      </w:tr>
      <w:tr>
        <w:trPr>
          <w:trHeight w:val="216"/>
        </w:trPr>
        <w:tc>
          <w:tcPr>
            <w:tcW w:w="5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current assets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Trade and other payables</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(2,573)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(5,142)</w:t>
            </w:r>
          </w:p>
        </w:tc>
        <w:tc>
          <w:tcPr>
            <w:tcW w:w="2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(1,276)</w:t>
            </w: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(4,920)</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(6,552)</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(4,251)</w:t>
            </w:r>
          </w:p>
        </w:tc>
        <w:tc>
          <w:tcPr>
            <w:tcW w:w="2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(3,411)</w:t>
            </w:r>
          </w:p>
        </w:tc>
        <w:tc>
          <w:tcPr>
            <w:tcW w:w="0" w:type="dxa"/>
            <w:vAlign w:val="bottom"/>
          </w:tcPr>
          <w:p>
            <w:pPr>
              <w:spacing w:after="0"/>
              <w:rPr>
                <w:sz w:val="1"/>
                <w:szCs w:val="1"/>
                <w:color w:val="auto"/>
              </w:rPr>
            </w:pPr>
          </w:p>
        </w:tc>
      </w:tr>
      <w:tr>
        <w:trPr>
          <w:trHeight w:val="216"/>
        </w:trPr>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taxes paid</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(4,019)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(5,460)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(4,182)</w:t>
            </w:r>
          </w:p>
        </w:tc>
        <w:tc>
          <w:tcPr>
            <w:tcW w:w="2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(5,747)</w:t>
            </w:r>
          </w:p>
        </w:tc>
        <w:tc>
          <w:tcPr>
            <w:tcW w:w="0" w:type="dxa"/>
            <w:vAlign w:val="bottom"/>
          </w:tcPr>
          <w:p>
            <w:pPr>
              <w:spacing w:after="0"/>
              <w:rPr>
                <w:sz w:val="1"/>
                <w:szCs w:val="1"/>
                <w:color w:val="auto"/>
              </w:rPr>
            </w:pPr>
          </w:p>
        </w:tc>
      </w:tr>
      <w:tr>
        <w:trPr>
          <w:trHeight w:val="209"/>
        </w:trPr>
        <w:tc>
          <w:tcPr>
            <w:tcW w:w="554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b w:val="1"/>
                <w:bCs w:val="1"/>
                <w:color w:val="auto"/>
              </w:rPr>
              <w:t>Net cash flow from operating activities</w:t>
            </w:r>
          </w:p>
        </w:tc>
        <w:tc>
          <w:tcPr>
            <w:tcW w:w="2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17,416</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33,119</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48,438</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49,063</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Purchase of equipment</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(1,232)</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(21,466)</w:t>
            </w:r>
          </w:p>
        </w:tc>
        <w:tc>
          <w:tcPr>
            <w:tcW w:w="2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(985)</w:t>
            </w:r>
          </w:p>
        </w:tc>
        <w:tc>
          <w:tcPr>
            <w:tcW w:w="0" w:type="dxa"/>
            <w:vAlign w:val="bottom"/>
          </w:tcPr>
          <w:p>
            <w:pPr>
              <w:spacing w:after="0"/>
              <w:rPr>
                <w:sz w:val="1"/>
                <w:szCs w:val="1"/>
                <w:color w:val="auto"/>
              </w:rPr>
            </w:pPr>
          </w:p>
        </w:tc>
      </w:tr>
      <w:tr>
        <w:trPr>
          <w:trHeight w:val="216"/>
        </w:trPr>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Development expenditure</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(2,476)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(3,120)</w:t>
            </w:r>
          </w:p>
        </w:tc>
        <w:tc>
          <w:tcPr>
            <w:tcW w:w="2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(4,707)</w:t>
            </w: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Investment in an associate</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(1,250)</w:t>
            </w:r>
          </w:p>
        </w:tc>
        <w:tc>
          <w:tcPr>
            <w:tcW w:w="0" w:type="dxa"/>
            <w:vAlign w:val="bottom"/>
          </w:tcPr>
          <w:p>
            <w:pPr>
              <w:spacing w:after="0"/>
              <w:rPr>
                <w:sz w:val="1"/>
                <w:szCs w:val="1"/>
                <w:color w:val="auto"/>
              </w:rPr>
            </w:pPr>
          </w:p>
        </w:tc>
      </w:tr>
      <w:tr>
        <w:trPr>
          <w:trHeight w:val="216"/>
        </w:trPr>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Sale of long-term investments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received</w:t>
            </w:r>
          </w:p>
        </w:tc>
        <w:tc>
          <w:tcPr>
            <w:tcW w:w="2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Net cash flow used in investing activities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(1,971)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(22,441)</w:t>
            </w:r>
          </w:p>
        </w:tc>
        <w:tc>
          <w:tcPr>
            <w:tcW w:w="2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(5,370)</w:t>
            </w:r>
          </w:p>
        </w:tc>
        <w:tc>
          <w:tcPr>
            <w:tcW w:w="0" w:type="dxa"/>
            <w:vAlign w:val="bottom"/>
          </w:tcPr>
          <w:p>
            <w:pPr>
              <w:spacing w:after="0"/>
              <w:rPr>
                <w:sz w:val="1"/>
                <w:szCs w:val="1"/>
                <w:color w:val="auto"/>
              </w:rPr>
            </w:pPr>
          </w:p>
        </w:tc>
      </w:tr>
      <w:tr>
        <w:trPr>
          <w:trHeight w:val="210"/>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8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Dividends paid</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(9,874)</w:t>
            </w:r>
          </w:p>
        </w:tc>
        <w:tc>
          <w:tcPr>
            <w:tcW w:w="2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(35,395)</w:t>
            </w: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Repayment of borrowings</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 of lease liabilities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(1,181)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(2,038)</w:t>
            </w:r>
          </w:p>
        </w:tc>
        <w:tc>
          <w:tcPr>
            <w:tcW w:w="2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(2,272)</w:t>
            </w: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paid</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(272)</w:t>
            </w:r>
          </w:p>
        </w:tc>
        <w:tc>
          <w:tcPr>
            <w:tcW w:w="2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0"/>
        </w:trPr>
        <w:tc>
          <w:tcPr>
            <w:tcW w:w="554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Net cash flow used in financing activities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(1,370)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(12,184)</w:t>
            </w:r>
          </w:p>
        </w:tc>
        <w:tc>
          <w:tcPr>
            <w:tcW w:w="2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(37,976)</w:t>
            </w:r>
          </w:p>
        </w:tc>
        <w:tc>
          <w:tcPr>
            <w:tcW w:w="0" w:type="dxa"/>
            <w:vAlign w:val="bottom"/>
          </w:tcPr>
          <w:p>
            <w:pPr>
              <w:spacing w:after="0"/>
              <w:rPr>
                <w:sz w:val="1"/>
                <w:szCs w:val="1"/>
                <w:color w:val="auto"/>
              </w:rPr>
            </w:pPr>
          </w:p>
        </w:tc>
      </w:tr>
      <w:tr>
        <w:trPr>
          <w:trHeight w:val="210"/>
        </w:trPr>
        <w:tc>
          <w:tcPr>
            <w:tcW w:w="5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change in cash and cash equivalents</w:t>
            </w:r>
          </w:p>
        </w:tc>
        <w:tc>
          <w:tcPr>
            <w:tcW w:w="2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14,876</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29,777</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13,814</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5,717</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91,338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103,546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93,863</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(1,858)</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(3,320)</w:t>
            </w: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28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104,356</w:t>
            </w:r>
          </w:p>
        </w:tc>
        <w:tc>
          <w:tcPr>
            <w:tcW w:w="16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133,823</w:t>
            </w: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104,356</w:t>
            </w:r>
          </w:p>
        </w:tc>
        <w:tc>
          <w:tcPr>
            <w:tcW w:w="26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133,823</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5540" w:type="dxa"/>
            <w:vAlign w:val="bottom"/>
          </w:tcPr>
          <w:p>
            <w:pPr>
              <w:spacing w:after="0"/>
              <w:rPr>
                <w:sz w:val="24"/>
                <w:szCs w:val="24"/>
                <w:color w:val="auto"/>
              </w:rPr>
            </w:pPr>
          </w:p>
        </w:tc>
        <w:tc>
          <w:tcPr>
            <w:tcW w:w="2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55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-3145790</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-3145790</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-3145790</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-3145790</wp:posOffset>
            </wp:positionV>
            <wp:extent cx="7747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-2313940</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-2313940</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-2313940</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-2313940</wp:posOffset>
            </wp:positionV>
            <wp:extent cx="7747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-1473835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-1473835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-1473835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-1473835</wp:posOffset>
            </wp:positionV>
            <wp:extent cx="7747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-1182370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-1182370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-1182370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-1182370</wp:posOffset>
            </wp:positionV>
            <wp:extent cx="774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-899795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-899795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-899795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-899795</wp:posOffset>
            </wp:positionV>
            <wp:extent cx="7747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Opera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Financial Information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unaudited)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revenue disaggregated by type: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0" w:type="dxa"/>
            <w:vAlign w:val="bottom"/>
            <w:gridSpan w:val="6"/>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20" w:type="dxa"/>
            <w:vAlign w:val="bottom"/>
            <w:gridSpan w:val="5"/>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12"/>
        </w:trPr>
        <w:tc>
          <w:tcPr>
            <w:tcW w:w="5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4"/>
          </w:tcPr>
          <w:p>
            <w:pPr>
              <w:jc w:val="center"/>
              <w:ind w:left="514"/>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center"/>
              <w:ind w:left="574"/>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Advertising</w:t>
            </w:r>
          </w:p>
        </w:tc>
        <w:tc>
          <w:tcPr>
            <w:tcW w:w="3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64,631</w:t>
            </w:r>
          </w:p>
        </w:tc>
        <w:tc>
          <w:tcPr>
            <w:tcW w:w="16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92,896</w:t>
            </w:r>
          </w:p>
        </w:tc>
        <w:tc>
          <w:tcPr>
            <w:tcW w:w="1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123,279</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188,502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Search</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44,547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49,585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87,686</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Technology licensing and other revenue</w:t>
            </w: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109,734</w:t>
            </w:r>
          </w:p>
        </w:tc>
        <w:tc>
          <w:tcPr>
            <w:tcW w:w="16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142,962</w:t>
            </w:r>
          </w:p>
        </w:tc>
        <w:tc>
          <w:tcPr>
            <w:tcW w:w="14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211,605</w:t>
            </w:r>
          </w:p>
        </w:tc>
        <w:tc>
          <w:tcPr>
            <w:tcW w:w="260" w:type="dxa"/>
            <w:vAlign w:val="bottom"/>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Share-based Compensation Expenses</w:t>
            </w: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7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The table below presents the amounts of share-based compensation expenses:</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5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0" w:type="dxa"/>
            <w:vAlign w:val="bottom"/>
            <w:gridSpan w:val="6"/>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5"/>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15"/>
        </w:trPr>
        <w:tc>
          <w:tcPr>
            <w:tcW w:w="5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4"/>
          </w:tcPr>
          <w:p>
            <w:pPr>
              <w:jc w:val="center"/>
              <w:ind w:left="514"/>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center"/>
              <w:ind w:left="574"/>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Opera-granted awards</w:t>
            </w:r>
          </w:p>
        </w:tc>
        <w:tc>
          <w:tcPr>
            <w:tcW w:w="3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(636)</w:t>
            </w: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(6,990)</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(1,415)</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(14,288)</w:t>
            </w:r>
          </w:p>
        </w:tc>
        <w:tc>
          <w:tcPr>
            <w:tcW w:w="0" w:type="dxa"/>
            <w:vAlign w:val="bottom"/>
          </w:tcPr>
          <w:p>
            <w:pPr>
              <w:spacing w:after="0"/>
              <w:rPr>
                <w:sz w:val="1"/>
                <w:szCs w:val="1"/>
                <w:color w:val="auto"/>
              </w:rPr>
            </w:pPr>
          </w:p>
        </w:tc>
      </w:tr>
      <w:tr>
        <w:trPr>
          <w:trHeight w:val="216"/>
        </w:trPr>
        <w:tc>
          <w:tcPr>
            <w:tcW w:w="57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Cost of parent-granted awards </w:t>
            </w:r>
            <w:r>
              <w:rPr>
                <w:rFonts w:ascii="Times New Roman" w:cs="Times New Roman" w:eastAsia="Times New Roman" w:hAnsi="Times New Roman"/>
                <w:sz w:val="24"/>
                <w:szCs w:val="24"/>
                <w:color w:val="auto"/>
                <w:vertAlign w:val="superscript"/>
              </w:rPr>
              <w:t>(1)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(1,269)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(2,809)</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Total cost of equity awards</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(2,066)</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(8,259)</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(4,224)</w:t>
            </w:r>
          </w:p>
        </w:tc>
        <w:tc>
          <w:tcPr>
            <w:tcW w:w="2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(14,020)</w:t>
            </w:r>
          </w:p>
        </w:tc>
        <w:tc>
          <w:tcPr>
            <w:tcW w:w="0" w:type="dxa"/>
            <w:vAlign w:val="bottom"/>
          </w:tcPr>
          <w:p>
            <w:pPr>
              <w:spacing w:after="0"/>
              <w:rPr>
                <w:sz w:val="1"/>
                <w:szCs w:val="1"/>
                <w:color w:val="auto"/>
              </w:rPr>
            </w:pPr>
          </w:p>
        </w:tc>
      </w:tr>
      <w:tr>
        <w:trPr>
          <w:trHeight w:val="20"/>
        </w:trPr>
        <w:tc>
          <w:tcPr>
            <w:tcW w:w="57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Social security contributions for Opera-granted awards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(318)</w:t>
            </w:r>
          </w:p>
        </w:tc>
        <w:tc>
          <w:tcPr>
            <w:tcW w:w="2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(744)</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Total share-based compensation expenses</w:t>
            </w: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(1,932)</w:t>
            </w: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(8,764)</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(4,542)</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(14,764)</w:t>
            </w:r>
          </w:p>
        </w:tc>
        <w:tc>
          <w:tcPr>
            <w:tcW w:w="0" w:type="dxa"/>
            <w:vAlign w:val="bottom"/>
          </w:tcPr>
          <w:p>
            <w:pPr>
              <w:spacing w:after="0"/>
              <w:rPr>
                <w:sz w:val="1"/>
                <w:szCs w:val="1"/>
                <w:color w:val="auto"/>
              </w:rPr>
            </w:pPr>
          </w:p>
        </w:tc>
      </w:tr>
      <w:tr>
        <w:trPr>
          <w:trHeight w:val="201"/>
        </w:trPr>
        <w:tc>
          <w:tcPr>
            <w:tcW w:w="5720" w:type="dxa"/>
            <w:vAlign w:val="bottom"/>
            <w:tcBorders>
              <w:top w:val="single" w:sz="8" w:color="CFF0FC"/>
            </w:tcBorders>
          </w:tcPr>
          <w:p>
            <w:pPr>
              <w:spacing w:after="0" w:line="201" w:lineRule="exact"/>
              <w:rPr>
                <w:sz w:val="20"/>
                <w:szCs w:val="20"/>
                <w:color w:val="auto"/>
              </w:rPr>
            </w:pPr>
            <w:r>
              <w:rPr>
                <w:rFonts w:ascii="Times New Roman" w:cs="Times New Roman" w:eastAsia="Times New Roman" w:hAnsi="Times New Roman"/>
                <w:sz w:val="18"/>
                <w:szCs w:val="18"/>
                <w:color w:val="auto"/>
              </w:rPr>
              <w:t>_______________</w:t>
            </w:r>
          </w:p>
        </w:tc>
        <w:tc>
          <w:tcPr>
            <w:tcW w:w="10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-2110740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-2110740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-2110740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-2110740</wp:posOffset>
            </wp:positionV>
            <wp:extent cx="774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-456565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-456565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-456565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-456565</wp:posOffset>
            </wp:positionV>
            <wp:extent cx="7747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-165100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-147955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-165100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-147955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-165100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-147955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-165100</wp:posOffset>
            </wp:positionV>
            <wp:extent cx="774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-147955</wp:posOffset>
            </wp:positionV>
            <wp:extent cx="7747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ind w:left="380" w:right="180" w:hanging="372"/>
        <w:spacing w:after="0" w:line="275" w:lineRule="auto"/>
        <w:tabs>
          <w:tab w:leader="none" w:pos="3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Kunlun, the majority shareholder of Opera, has granted equity awards to Opera employees as compensation for services provided to Opera. Opera does not have any obligation to settle the awards granted by Kunlun and such awards do not lead to dilution for Opera shareholders.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Operating Expenses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the items of other operating expenses: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0" w:type="dxa"/>
            <w:vAlign w:val="bottom"/>
            <w:gridSpan w:val="6"/>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20" w:type="dxa"/>
            <w:vAlign w:val="bottom"/>
            <w:gridSpan w:val="5"/>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2"/>
        </w:trPr>
        <w:tc>
          <w:tcPr>
            <w:tcW w:w="4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4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7"/>
                <w:szCs w:val="17"/>
                <w:color w:val="auto"/>
              </w:rPr>
            </w:pPr>
          </w:p>
        </w:tc>
      </w:tr>
      <w:tr>
        <w:trPr>
          <w:trHeight w:val="210"/>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Hosting</w:t>
            </w:r>
          </w:p>
        </w:tc>
        <w:tc>
          <w:tcPr>
            <w:tcW w:w="18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(2,809)</w:t>
            </w: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(3,240)</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(5,817)</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(6,170)</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Audit, legal and other advisory services</w:t>
            </w:r>
          </w:p>
        </w:tc>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(2,588)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(1,699)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(4,188)</w:t>
            </w:r>
          </w:p>
        </w:tc>
        <w:tc>
          <w:tcPr>
            <w:tcW w:w="2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(3,902)</w:t>
            </w:r>
          </w:p>
        </w:tc>
      </w:tr>
      <w:tr>
        <w:trPr>
          <w:trHeight w:val="216"/>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 license fees</w:t>
            </w:r>
          </w:p>
        </w:tc>
        <w:tc>
          <w:tcPr>
            <w:tcW w:w="1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(1,211)</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(836)</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(2,452)</w:t>
            </w:r>
          </w:p>
        </w:tc>
        <w:tc>
          <w:tcPr>
            <w:tcW w:w="2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(1,675)</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Rent and other office expenses</w:t>
            </w:r>
          </w:p>
        </w:tc>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(1,172)</w:t>
            </w:r>
          </w:p>
        </w:tc>
        <w:tc>
          <w:tcPr>
            <w:tcW w:w="2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(1,137)</w:t>
            </w:r>
          </w:p>
        </w:tc>
      </w:tr>
      <w:tr>
        <w:trPr>
          <w:trHeight w:val="216"/>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Travel</w:t>
            </w:r>
          </w:p>
        </w:tc>
        <w:tc>
          <w:tcPr>
            <w:tcW w:w="1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(517)</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(947)</w:t>
            </w:r>
          </w:p>
        </w:tc>
        <w:tc>
          <w:tcPr>
            <w:tcW w:w="2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(1,011)</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(1,390)</w:t>
            </w:r>
          </w:p>
        </w:tc>
        <w:tc>
          <w:tcPr>
            <w:tcW w:w="2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(1,460)</w:t>
            </w:r>
          </w:p>
        </w:tc>
      </w:tr>
      <w:tr>
        <w:trPr>
          <w:trHeight w:val="20"/>
        </w:trPr>
        <w:tc>
          <w:tcPr>
            <w:tcW w:w="4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4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Total other operating expenses</w:t>
            </w:r>
          </w:p>
        </w:tc>
        <w:tc>
          <w:tcPr>
            <w:tcW w:w="160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(8,741)</w:t>
            </w: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(7,521)</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(15,965)</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(15,354)</w:t>
            </w:r>
          </w:p>
        </w:tc>
      </w:tr>
      <w:tr>
        <w:trPr>
          <w:trHeight w:val="588"/>
        </w:trPr>
        <w:tc>
          <w:tcPr>
            <w:tcW w:w="4220" w:type="dxa"/>
            <w:vAlign w:val="bottom"/>
            <w:tcBorders>
              <w:top w:val="single" w:sz="8" w:color="CFF0FC"/>
            </w:tcBorders>
          </w:tcPr>
          <w:p>
            <w:pPr>
              <w:spacing w:after="0"/>
              <w:rPr>
                <w:sz w:val="24"/>
                <w:szCs w:val="24"/>
                <w:color w:val="auto"/>
              </w:rPr>
            </w:pPr>
          </w:p>
        </w:tc>
        <w:tc>
          <w:tcPr>
            <w:tcW w:w="1600" w:type="dxa"/>
            <w:vAlign w:val="bottom"/>
            <w:tcBorders>
              <w:top w:val="single" w:sz="8" w:color="CFF0FC"/>
            </w:tcBorders>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r>
      <w:tr>
        <w:trPr>
          <w:trHeight w:val="506"/>
        </w:trPr>
        <w:tc>
          <w:tcPr>
            <w:tcW w:w="42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-744855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-728345</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-744855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-728345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-744855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-728345</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-744855</wp:posOffset>
            </wp:positionV>
            <wp:extent cx="774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-728345</wp:posOffset>
            </wp:positionV>
            <wp:extent cx="7747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Opera Limited</w:t>
      </w:r>
    </w:p>
    <w:p>
      <w:pPr>
        <w:spacing w:after="0" w:line="3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Reconciliations of Non-IFRS Financial Measures</w:t>
      </w:r>
    </w:p>
    <w:p>
      <w:pPr>
        <w:spacing w:after="0" w:line="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 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adjusted net income to net income: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0" w:type="dxa"/>
            <w:vAlign w:val="bottom"/>
            <w:gridSpan w:val="6"/>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20" w:type="dxa"/>
            <w:vAlign w:val="bottom"/>
            <w:gridSpan w:val="5"/>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2"/>
        </w:trPr>
        <w:tc>
          <w:tcPr>
            <w:tcW w:w="58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4"/>
          </w:tcPr>
          <w:p>
            <w:pPr>
              <w:jc w:val="center"/>
              <w:ind w:left="512"/>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center"/>
              <w:ind w:left="572"/>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58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7"/>
                <w:szCs w:val="17"/>
                <w:color w:val="auto"/>
              </w:rPr>
            </w:pPr>
          </w:p>
        </w:tc>
      </w:tr>
      <w:tr>
        <w:trPr>
          <w:trHeight w:val="21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19,303</w:t>
            </w:r>
          </w:p>
        </w:tc>
        <w:tc>
          <w:tcPr>
            <w:tcW w:w="16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15,676</w:t>
            </w:r>
          </w:p>
        </w:tc>
        <w:tc>
          <w:tcPr>
            <w:tcW w:w="1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34,142</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33,959</w:t>
            </w:r>
          </w:p>
        </w:tc>
        <w:tc>
          <w:tcPr>
            <w:tcW w:w="120" w:type="dxa"/>
            <w:vAlign w:val="bottom"/>
            <w:shd w:val="clear" w:color="auto" w:fill="CFF0FC"/>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Add (deduct):</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Share of net loss of equity-accounted investees</w:t>
            </w: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FF0FC"/>
          </w:tcPr>
          <w:p>
            <w:pPr>
              <w:spacing w:after="0"/>
              <w:rPr>
                <w:sz w:val="18"/>
                <w:szCs w:val="18"/>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Impairment of non-financial assets</w:t>
            </w:r>
          </w:p>
        </w:tc>
        <w:tc>
          <w:tcPr>
            <w:tcW w:w="2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120" w:type="dxa"/>
            <w:vAlign w:val="bottom"/>
          </w:tcPr>
          <w:p>
            <w:pPr>
              <w:spacing w:after="0"/>
              <w:rPr>
                <w:sz w:val="18"/>
                <w:szCs w:val="18"/>
                <w:color w:val="auto"/>
              </w:rPr>
            </w:pP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120" w:type="dxa"/>
            <w:vAlign w:val="bottom"/>
            <w:shd w:val="clear" w:color="auto" w:fill="CFF0FC"/>
          </w:tcPr>
          <w:p>
            <w:pPr>
              <w:spacing w:after="0"/>
              <w:rPr>
                <w:sz w:val="18"/>
                <w:szCs w:val="18"/>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4,542</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14,764</w:t>
            </w:r>
          </w:p>
        </w:tc>
        <w:tc>
          <w:tcPr>
            <w:tcW w:w="120" w:type="dxa"/>
            <w:vAlign w:val="bottom"/>
          </w:tcPr>
          <w:p>
            <w:pPr>
              <w:spacing w:after="0"/>
              <w:rPr>
                <w:sz w:val="18"/>
                <w:szCs w:val="18"/>
                <w:color w:val="auto"/>
              </w:rPr>
            </w:pP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Income tax effect on adjustments</w:t>
            </w: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(1,107)</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(1,975)</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(1,524)</w:t>
            </w:r>
          </w:p>
        </w:tc>
        <w:tc>
          <w:tcPr>
            <w:tcW w:w="2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(3,489)</w:t>
            </w:r>
          </w:p>
        </w:tc>
      </w:tr>
      <w:tr>
        <w:trPr>
          <w:trHeight w:val="209"/>
        </w:trPr>
        <w:tc>
          <w:tcPr>
            <w:tcW w:w="5820" w:type="dxa"/>
            <w:vAlign w:val="bottom"/>
            <w:tcBorders>
              <w:top w:val="single" w:sz="8" w:color="CFF0FC"/>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20,773</w:t>
            </w:r>
          </w:p>
        </w:tc>
        <w:tc>
          <w:tcPr>
            <w:tcW w:w="16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23,723</w:t>
            </w: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38,450</w:t>
            </w:r>
          </w:p>
        </w:tc>
        <w:tc>
          <w:tcPr>
            <w:tcW w:w="26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47,878</w:t>
            </w:r>
          </w:p>
        </w:tc>
        <w:tc>
          <w:tcPr>
            <w:tcW w:w="120" w:type="dxa"/>
            <w:vAlign w:val="bottom"/>
            <w:tcBorders>
              <w:top w:val="single" w:sz="8" w:color="CFF0FC"/>
            </w:tcBorders>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58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Diluted weighted-average number of shares outstanding</w:t>
            </w: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89,315</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90,316</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89,303</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90,305</w:t>
            </w:r>
          </w:p>
        </w:tc>
        <w:tc>
          <w:tcPr>
            <w:tcW w:w="120" w:type="dxa"/>
            <w:vAlign w:val="bottom"/>
            <w:shd w:val="clear" w:color="auto" w:fill="CFF0FC"/>
          </w:tcPr>
          <w:p>
            <w:pPr>
              <w:spacing w:after="0"/>
              <w:rPr>
                <w:sz w:val="17"/>
                <w:szCs w:val="17"/>
                <w:color w:val="auto"/>
              </w:rPr>
            </w:pPr>
          </w:p>
        </w:tc>
      </w:tr>
      <w:tr>
        <w:trPr>
          <w:trHeight w:val="238"/>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diluted earnings per share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60" w:type="dxa"/>
            <w:vAlign w:val="bottom"/>
          </w:tcPr>
          <w:p>
            <w:pPr>
              <w:spacing w:after="0"/>
              <w:rPr>
                <w:sz w:val="20"/>
                <w:szCs w:val="20"/>
                <w:color w:val="auto"/>
              </w:rPr>
            </w:pPr>
          </w:p>
        </w:tc>
        <w:tc>
          <w:tcPr>
            <w:tcW w:w="3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40" w:type="dxa"/>
            <w:vAlign w:val="bottom"/>
          </w:tcPr>
          <w:p>
            <w:pPr>
              <w:spacing w:after="0"/>
              <w:rPr>
                <w:sz w:val="20"/>
                <w:szCs w:val="20"/>
                <w:color w:val="auto"/>
              </w:rPr>
            </w:pP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260" w:type="dxa"/>
            <w:vAlign w:val="bottom"/>
          </w:tcPr>
          <w:p>
            <w:pPr>
              <w:spacing w:after="0"/>
              <w:rPr>
                <w:sz w:val="20"/>
                <w:szCs w:val="20"/>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20" w:type="dxa"/>
            <w:vAlign w:val="bottom"/>
          </w:tcPr>
          <w:p>
            <w:pPr>
              <w:spacing w:after="0"/>
              <w:rPr>
                <w:sz w:val="20"/>
                <w:szCs w:val="20"/>
                <w:color w:val="auto"/>
              </w:rPr>
            </w:pPr>
          </w:p>
        </w:tc>
      </w:tr>
      <w:tr>
        <w:trPr>
          <w:trHeight w:val="41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is a reconciliation of adjusted EBITDA to net income:</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03"/>
        </w:trPr>
        <w:tc>
          <w:tcPr>
            <w:tcW w:w="5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0" w:type="dxa"/>
            <w:vAlign w:val="bottom"/>
            <w:gridSpan w:val="6"/>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5"/>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5"/>
        </w:trPr>
        <w:tc>
          <w:tcPr>
            <w:tcW w:w="58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4"/>
          </w:tcPr>
          <w:p>
            <w:pPr>
              <w:jc w:val="center"/>
              <w:ind w:left="512"/>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center"/>
              <w:ind w:left="572"/>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9"/>
        </w:trPr>
        <w:tc>
          <w:tcPr>
            <w:tcW w:w="58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7"/>
                <w:szCs w:val="17"/>
                <w:color w:val="auto"/>
              </w:rPr>
            </w:pPr>
          </w:p>
        </w:tc>
      </w:tr>
      <w:tr>
        <w:trPr>
          <w:trHeight w:val="209"/>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19,303</w:t>
            </w:r>
          </w:p>
        </w:tc>
        <w:tc>
          <w:tcPr>
            <w:tcW w:w="16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15,676</w:t>
            </w:r>
          </w:p>
        </w:tc>
        <w:tc>
          <w:tcPr>
            <w:tcW w:w="1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34,142</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33,959</w:t>
            </w:r>
          </w:p>
        </w:tc>
        <w:tc>
          <w:tcPr>
            <w:tcW w:w="120" w:type="dxa"/>
            <w:vAlign w:val="bottom"/>
            <w:shd w:val="clear" w:color="auto" w:fill="CFF0FC"/>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Add (deduct):</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2,825</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7,454</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4,595</w:t>
            </w:r>
          </w:p>
        </w:tc>
        <w:tc>
          <w:tcPr>
            <w:tcW w:w="120" w:type="dxa"/>
            <w:vAlign w:val="bottom"/>
            <w:shd w:val="clear" w:color="auto" w:fill="CFF0FC"/>
          </w:tcPr>
          <w:p>
            <w:pPr>
              <w:spacing w:after="0"/>
              <w:rPr>
                <w:sz w:val="18"/>
                <w:szCs w:val="18"/>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finance (income) expense</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(79)</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20" w:type="dxa"/>
            <w:vAlign w:val="bottom"/>
          </w:tcPr>
          <w:p>
            <w:pPr>
              <w:spacing w:after="0"/>
              <w:rPr>
                <w:sz w:val="18"/>
                <w:szCs w:val="18"/>
                <w:color w:val="auto"/>
              </w:rPr>
            </w:pP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Share of net loss of equity-accounted investees</w:t>
            </w: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FF0FC"/>
          </w:tcPr>
          <w:p>
            <w:pPr>
              <w:spacing w:after="0"/>
              <w:rPr>
                <w:sz w:val="18"/>
                <w:szCs w:val="18"/>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Impairment of non-financial assets</w:t>
            </w:r>
          </w:p>
        </w:tc>
        <w:tc>
          <w:tcPr>
            <w:tcW w:w="2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120" w:type="dxa"/>
            <w:vAlign w:val="bottom"/>
          </w:tcPr>
          <w:p>
            <w:pPr>
              <w:spacing w:after="0"/>
              <w:rPr>
                <w:sz w:val="18"/>
                <w:szCs w:val="18"/>
                <w:color w:val="auto"/>
              </w:rPr>
            </w:pP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4,012</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4,634</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7,083</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9,067</w:t>
            </w:r>
          </w:p>
        </w:tc>
        <w:tc>
          <w:tcPr>
            <w:tcW w:w="120" w:type="dxa"/>
            <w:vAlign w:val="bottom"/>
            <w:shd w:val="clear" w:color="auto" w:fill="CFF0FC"/>
          </w:tcPr>
          <w:p>
            <w:pPr>
              <w:spacing w:after="0"/>
              <w:rPr>
                <w:sz w:val="18"/>
                <w:szCs w:val="18"/>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4,542</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14,764</w:t>
            </w:r>
          </w:p>
        </w:tc>
        <w:tc>
          <w:tcPr>
            <w:tcW w:w="120" w:type="dxa"/>
            <w:vAlign w:val="bottom"/>
          </w:tcPr>
          <w:p>
            <w:pPr>
              <w:spacing w:after="0"/>
              <w:rPr>
                <w:sz w:val="18"/>
                <w:szCs w:val="18"/>
                <w:color w:val="auto"/>
              </w:rPr>
            </w:pP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operating income</w:t>
            </w: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(1,281)</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(1,624)</w:t>
            </w:r>
          </w:p>
        </w:tc>
        <w:tc>
          <w:tcPr>
            <w:tcW w:w="2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5820" w:type="dxa"/>
            <w:vAlign w:val="bottom"/>
            <w:tcBorders>
              <w:top w:val="single" w:sz="8" w:color="CFF0FC"/>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26,606</w:t>
            </w:r>
          </w:p>
        </w:tc>
        <w:tc>
          <w:tcPr>
            <w:tcW w:w="16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32,094</w:t>
            </w: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51,519</w:t>
            </w:r>
          </w:p>
        </w:tc>
        <w:tc>
          <w:tcPr>
            <w:tcW w:w="26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64,352</w:t>
            </w:r>
          </w:p>
        </w:tc>
        <w:tc>
          <w:tcPr>
            <w:tcW w:w="120" w:type="dxa"/>
            <w:vAlign w:val="bottom"/>
            <w:tcBorders>
              <w:top w:val="single" w:sz="8" w:color="CFF0FC"/>
            </w:tcBorders>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-2665095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-2665095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-2665095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-2665095</wp:posOffset>
            </wp:positionV>
            <wp:extent cx="7747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-170815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-170815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-170815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reconciles free cash flow from operations to net cash flow from operating activities: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0" w:type="dxa"/>
            <w:vAlign w:val="bottom"/>
            <w:gridSpan w:val="6"/>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20" w:type="dxa"/>
            <w:vAlign w:val="bottom"/>
            <w:gridSpan w:val="5"/>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12"/>
        </w:trPr>
        <w:tc>
          <w:tcPr>
            <w:tcW w:w="4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flow from operating activities</w:t>
            </w:r>
          </w:p>
        </w:tc>
        <w:tc>
          <w:tcPr>
            <w:tcW w:w="19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17,416</w:t>
            </w:r>
          </w:p>
        </w:tc>
        <w:tc>
          <w:tcPr>
            <w:tcW w:w="16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33,119</w:t>
            </w:r>
          </w:p>
        </w:tc>
        <w:tc>
          <w:tcPr>
            <w:tcW w:w="1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48,438</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49,063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Deduct:</w:t>
            </w: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Purchase of equipment</w:t>
            </w:r>
          </w:p>
        </w:tc>
        <w:tc>
          <w:tcPr>
            <w:tcW w:w="1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(1,232)</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(21,466)</w:t>
            </w:r>
          </w:p>
        </w:tc>
        <w:tc>
          <w:tcPr>
            <w:tcW w:w="2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(985)</w:t>
            </w:r>
          </w:p>
        </w:tc>
        <w:tc>
          <w:tcPr>
            <w:tcW w:w="0" w:type="dxa"/>
            <w:vAlign w:val="bottom"/>
          </w:tcPr>
          <w:p>
            <w:pPr>
              <w:spacing w:after="0"/>
              <w:rPr>
                <w:sz w:val="1"/>
                <w:szCs w:val="1"/>
                <w:color w:val="auto"/>
              </w:rPr>
            </w:pPr>
          </w:p>
        </w:tc>
      </w:tr>
      <w:tr>
        <w:trPr>
          <w:trHeight w:val="216"/>
        </w:trPr>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Development expenditure</w:t>
            </w: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(2,476)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(3,120)</w:t>
            </w:r>
          </w:p>
        </w:tc>
        <w:tc>
          <w:tcPr>
            <w:tcW w:w="2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(4,707)</w:t>
            </w:r>
          </w:p>
        </w:tc>
        <w:tc>
          <w:tcPr>
            <w:tcW w:w="0" w:type="dxa"/>
            <w:vAlign w:val="bottom"/>
          </w:tcPr>
          <w:p>
            <w:pPr>
              <w:spacing w:after="0"/>
              <w:rPr>
                <w:sz w:val="1"/>
                <w:szCs w:val="1"/>
                <w:color w:val="auto"/>
              </w:rPr>
            </w:pPr>
          </w:p>
        </w:tc>
      </w:tr>
      <w:tr>
        <w:trPr>
          <w:trHeight w:val="216"/>
        </w:trPr>
        <w:tc>
          <w:tcPr>
            <w:tcW w:w="4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Payment of lease liabilities</w:t>
            </w:r>
          </w:p>
        </w:tc>
        <w:tc>
          <w:tcPr>
            <w:tcW w:w="1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(930)</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(1,181)</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(2,038)</w:t>
            </w:r>
          </w:p>
        </w:tc>
        <w:tc>
          <w:tcPr>
            <w:tcW w:w="2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(2,272)</w:t>
            </w:r>
          </w:p>
        </w:tc>
        <w:tc>
          <w:tcPr>
            <w:tcW w:w="0" w:type="dxa"/>
            <w:vAlign w:val="bottom"/>
          </w:tcPr>
          <w:p>
            <w:pPr>
              <w:spacing w:after="0"/>
              <w:rPr>
                <w:sz w:val="1"/>
                <w:szCs w:val="1"/>
                <w:color w:val="auto"/>
              </w:rPr>
            </w:pPr>
          </w:p>
        </w:tc>
      </w:tr>
      <w:tr>
        <w:trPr>
          <w:trHeight w:val="209"/>
        </w:trPr>
        <w:tc>
          <w:tcPr>
            <w:tcW w:w="4180" w:type="dxa"/>
            <w:vAlign w:val="bottom"/>
            <w:tcBorders>
              <w:top w:val="single" w:sz="8" w:color="CFF0FC"/>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Free cash flow from operations</w:t>
            </w:r>
          </w:p>
        </w:tc>
        <w:tc>
          <w:tcPr>
            <w:tcW w:w="164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13,525</w:t>
            </w:r>
          </w:p>
        </w:tc>
        <w:tc>
          <w:tcPr>
            <w:tcW w:w="16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29,073</w:t>
            </w: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21,815</w:t>
            </w:r>
          </w:p>
        </w:tc>
        <w:tc>
          <w:tcPr>
            <w:tcW w:w="26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41,099</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6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18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418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-899160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-899160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-899160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-899160</wp:posOffset>
            </wp:positionV>
            <wp:extent cx="7747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13" w:name="page14"/>
    <w:bookmarkEnd w:id="1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2025-08-19T06:05:31Z</dcterms:created>
  <dcterms:modified xsi:type="dcterms:W3CDTF">2025-08-19T06:05:31Z</dcterms:modified>
</cp:coreProperties>
</file>