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April 2022</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462915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OPERA LIMITED</w:t>
      </w:r>
    </w:p>
    <w:p>
      <w:pPr>
        <w:spacing w:after="0" w:line="39"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Vitaminveien 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0485 Oslo, Norway</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300"/>
        <w:spacing w:after="0" w:line="207" w:lineRule="exact"/>
        <w:tabs>
          <w:tab w:leader="none" w:pos="25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ind w:left="518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680" w:val="left"/>
        </w:tabs>
        <w:rPr>
          <w:rFonts w:ascii="Arial" w:cs="Arial" w:eastAsia="Arial" w:hAnsi="Arial"/>
          <w:sz w:val="15"/>
          <w:szCs w:val="15"/>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5"/>
            <w:szCs w:val="15"/>
            <w:u w:val="single" w:color="auto"/>
            <w:color w:val="0000EE"/>
          </w:rPr>
          <w:t>Press Release – Opera reports first quarter 2022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Opera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Yahui Zhou</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Yahui Zhou</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Chairman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2022</w:t>
      </w:r>
    </w:p>
    <w:p>
      <w:pPr>
        <w:sectPr>
          <w:pgSz w:w="11900" w:h="16838" w:orient="portrait"/>
          <w:cols w:equalWidth="0" w:num="1">
            <w:col w:w="10920"/>
          </w:cols>
          <w:pgMar w:left="320" w:top="58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 reports first quarter 2022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Both revenue and adjusted EBITDA exceeded expectations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Q1 revenue grew 39% year-over-year driven by strong product portfolio and growth in high ARPU markets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announced and began to implement a $50 million buyback program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affirms 2022 guidance for revenue growth of 22% and adjusted EBITDA growth of 90% with an 18% margin at the midpoint</w:t>
      </w: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Oslo, Norway, April 28, 2022 </w:t>
      </w:r>
      <w:r>
        <w:rPr>
          <w:rFonts w:ascii="Arial" w:cs="Arial" w:eastAsia="Arial" w:hAnsi="Arial"/>
          <w:sz w:val="18"/>
          <w:szCs w:val="18"/>
          <w:color w:val="auto"/>
        </w:rPr>
        <w:t>– Opera Limited (NASDAQ: OPRA), one of the world’s largest internet consumer brands with hundreds of millions of users</w:t>
      </w:r>
      <w:r>
        <w:rPr>
          <w:rFonts w:ascii="Arial" w:cs="Arial" w:eastAsia="Arial" w:hAnsi="Arial"/>
          <w:sz w:val="18"/>
          <w:szCs w:val="18"/>
          <w:b w:val="1"/>
          <w:bCs w:val="1"/>
          <w:color w:val="auto"/>
        </w:rPr>
        <w:t xml:space="preserve"> </w:t>
      </w:r>
      <w:r>
        <w:rPr>
          <w:rFonts w:ascii="Arial" w:cs="Arial" w:eastAsia="Arial" w:hAnsi="Arial"/>
          <w:sz w:val="18"/>
          <w:szCs w:val="18"/>
          <w:color w:val="auto"/>
        </w:rPr>
        <w:t>worldwide, today announced its unaudited consolidated financial results for the quarter ended March 31,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First quarter 2022 financial highlights</w:t>
            </w:r>
          </w:p>
        </w:tc>
        <w:tc>
          <w:tcPr>
            <w:tcW w:w="1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94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3540" w:type="dxa"/>
            <w:vAlign w:val="bottom"/>
            <w:gridSpan w:val="3"/>
            <w:vMerge w:val="restart"/>
          </w:tcPr>
          <w:p>
            <w:pPr>
              <w:jc w:val="right"/>
              <w:ind w:right="740"/>
              <w:spacing w:after="0"/>
              <w:rPr>
                <w:sz w:val="20"/>
                <w:szCs w:val="20"/>
                <w:color w:val="auto"/>
              </w:rPr>
            </w:pPr>
            <w:r>
              <w:rPr>
                <w:rFonts w:ascii="Arial" w:cs="Arial" w:eastAsia="Arial" w:hAnsi="Arial"/>
                <w:sz w:val="18"/>
                <w:szCs w:val="18"/>
                <w:b w:val="1"/>
                <w:bCs w:val="1"/>
                <w:color w:val="auto"/>
              </w:rPr>
              <w:t>Three Months Ended March 31,</w:t>
            </w: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Year-over-</w:t>
            </w:r>
          </w:p>
        </w:tc>
        <w:tc>
          <w:tcPr>
            <w:tcW w:w="0" w:type="dxa"/>
            <w:vAlign w:val="bottom"/>
          </w:tcPr>
          <w:p>
            <w:pPr>
              <w:spacing w:after="0"/>
              <w:rPr>
                <w:sz w:val="1"/>
                <w:szCs w:val="1"/>
                <w:color w:val="auto"/>
              </w:rPr>
            </w:pPr>
          </w:p>
        </w:tc>
      </w:tr>
      <w:tr>
        <w:trPr>
          <w:trHeight w:val="221"/>
        </w:trPr>
        <w:tc>
          <w:tcPr>
            <w:tcW w:w="29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540" w:type="dxa"/>
            <w:vAlign w:val="bottom"/>
            <w:gridSpan w:val="3"/>
            <w:vMerge w:val="continue"/>
          </w:tcPr>
          <w:p>
            <w:pPr>
              <w:spacing w:after="0"/>
              <w:rPr>
                <w:sz w:val="19"/>
                <w:szCs w:val="19"/>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year %</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[US$ thousands, except for margins and per ADS amounts]</w:t>
            </w:r>
          </w:p>
        </w:tc>
        <w:tc>
          <w:tcPr>
            <w:tcW w:w="190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09"/>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51,583</w:t>
            </w: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71,583</w:t>
            </w:r>
          </w:p>
        </w:tc>
        <w:tc>
          <w:tcPr>
            <w:tcW w:w="15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0"/>
              </w:rPr>
              <w:t>38.8%</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639</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(9,436)</w:t>
            </w:r>
          </w:p>
        </w:tc>
        <w:tc>
          <w:tcPr>
            <w:tcW w:w="15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Margin</w:t>
            </w:r>
          </w:p>
        </w:tc>
        <w:tc>
          <w:tcPr>
            <w:tcW w:w="190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5"/>
                <w:szCs w:val="25"/>
                <w:color w:val="auto"/>
                <w:vertAlign w:val="superscript"/>
              </w:rPr>
              <w:t>(1)</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4,576</w:t>
            </w: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7,349</w:t>
            </w:r>
          </w:p>
        </w:tc>
        <w:tc>
          <w:tcPr>
            <w:tcW w:w="1500" w:type="dxa"/>
            <w:vAlign w:val="bottom"/>
          </w:tcPr>
          <w:p>
            <w:pPr>
              <w:ind w:left="1020"/>
              <w:spacing w:after="0"/>
              <w:rPr>
                <w:sz w:val="20"/>
                <w:szCs w:val="20"/>
                <w:color w:val="auto"/>
              </w:rPr>
            </w:pPr>
            <w:r>
              <w:rPr>
                <w:rFonts w:ascii="Arial" w:cs="Arial" w:eastAsia="Arial" w:hAnsi="Arial"/>
                <w:sz w:val="18"/>
                <w:szCs w:val="18"/>
                <w:color w:val="auto"/>
                <w:w w:val="90"/>
              </w:rPr>
              <w:t>60.6%</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Margin</w:t>
            </w:r>
          </w:p>
        </w:tc>
        <w:tc>
          <w:tcPr>
            <w:tcW w:w="1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8.9%</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Adjusted net income (loss) </w:t>
            </w:r>
            <w:r>
              <w:rPr>
                <w:rFonts w:ascii="Arial" w:cs="Arial" w:eastAsia="Arial" w:hAnsi="Arial"/>
                <w:sz w:val="25"/>
                <w:szCs w:val="25"/>
                <w:color w:val="auto"/>
                <w:vertAlign w:val="superscript"/>
              </w:rPr>
              <w:t>(1)</w:t>
            </w:r>
          </w:p>
        </w:tc>
        <w:tc>
          <w:tcPr>
            <w:tcW w:w="1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4,607</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(6,362)</w:t>
            </w:r>
          </w:p>
        </w:tc>
        <w:tc>
          <w:tcPr>
            <w:tcW w:w="15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Margin</w:t>
            </w:r>
          </w:p>
        </w:tc>
        <w:tc>
          <w:tcPr>
            <w:tcW w:w="1900" w:type="dxa"/>
            <w:vAlign w:val="bottom"/>
          </w:tcPr>
          <w:p>
            <w:pPr>
              <w:jc w:val="right"/>
              <w:ind w:right="230"/>
              <w:spacing w:after="0"/>
              <w:rPr>
                <w:sz w:val="20"/>
                <w:szCs w:val="20"/>
                <w:color w:val="auto"/>
              </w:rPr>
            </w:pPr>
            <w:r>
              <w:rPr>
                <w:rFonts w:ascii="Arial" w:cs="Arial" w:eastAsia="Arial" w:hAnsi="Arial"/>
                <w:sz w:val="18"/>
                <w:szCs w:val="18"/>
                <w:color w:val="auto"/>
              </w:rPr>
              <w:t>8.9%</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Diluted earnings per ADS, US$</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0.01</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(0.08)</w:t>
            </w:r>
          </w:p>
        </w:tc>
        <w:tc>
          <w:tcPr>
            <w:tcW w:w="1500" w:type="dxa"/>
            <w:vAlign w:val="bottom"/>
          </w:tcPr>
          <w:p>
            <w:pPr>
              <w:ind w:left="10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6200" w:type="dxa"/>
            <w:vAlign w:val="bottom"/>
            <w:gridSpan w:val="2"/>
          </w:tcPr>
          <w:p>
            <w:pPr>
              <w:spacing w:after="0"/>
              <w:rPr>
                <w:sz w:val="20"/>
                <w:szCs w:val="20"/>
                <w:color w:val="auto"/>
              </w:rPr>
            </w:pPr>
            <w:r>
              <w:rPr>
                <w:rFonts w:ascii="Arial" w:cs="Arial" w:eastAsia="Arial" w:hAnsi="Arial"/>
                <w:sz w:val="18"/>
                <w:szCs w:val="18"/>
                <w:color w:val="auto"/>
              </w:rPr>
              <w:t xml:space="preserve">Diluted adjusted net income (loss) per ADS, US$ </w:t>
            </w:r>
            <w:r>
              <w:rPr>
                <w:rFonts w:ascii="Arial" w:cs="Arial" w:eastAsia="Arial" w:hAnsi="Arial"/>
                <w:sz w:val="29"/>
                <w:szCs w:val="29"/>
                <w:color w:val="auto"/>
                <w:vertAlign w:val="superscript"/>
              </w:rPr>
              <w:t>(1)</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0.04</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(0.05)</w:t>
            </w:r>
          </w:p>
        </w:tc>
        <w:tc>
          <w:tcPr>
            <w:tcW w:w="1500" w:type="dxa"/>
            <w:vAlign w:val="bottom"/>
          </w:tcPr>
          <w:p>
            <w:pPr>
              <w:ind w:left="10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(1) Please see the separate section "About non-IFRS financial measures" for the definitions of adjusted EBITDA and adjusted net income.</w:t>
      </w:r>
    </w:p>
    <w:p>
      <w:pPr>
        <w:spacing w:after="0" w:line="200" w:lineRule="exact"/>
        <w:rPr>
          <w:sz w:val="20"/>
          <w:szCs w:val="20"/>
          <w:color w:val="auto"/>
        </w:rPr>
      </w:pP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“Opera’s performance in 2022 is off to a great start, both as it relates to our product portfolio and in terms of monetization and financial results coming in ahead of expectations. As a segment-oriented web browser and content platform provider, we continue to see increased adoption of our products in western markets, where more and more people choose Opera over default solutions, and we maintain a very strategic and significant footprint amongst monetizable users in emerging markets”, said Co-CEO Song Lin.</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world, and in particular the situation in Europe, is looking very different today than it did at our last quarterly release, but we find that tailwinds in our business are offsetting the monetary impacts of the war as it relates to Opera. While we are excited about the continued momentum in our business, this naturally fades in importance relative to the grave situation unfolding and the millions of people affected, including among our own staff and their families.”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First quarter and recent business highlights</w:t>
      </w:r>
    </w:p>
    <w:p>
      <w:pPr>
        <w:spacing w:after="0" w:line="229" w:lineRule="exact"/>
        <w:rPr>
          <w:sz w:val="20"/>
          <w:szCs w:val="20"/>
          <w:color w:val="auto"/>
        </w:rPr>
      </w:pPr>
    </w:p>
    <w:p>
      <w:pPr>
        <w:ind w:left="660" w:right="80" w:hanging="328"/>
        <w:spacing w:after="0" w:line="274"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Core search and advertising revenue grew 41% year-over-year in the first quarter, driven by the strong ARPU trend of our browser and news user base, as well as leveraging our strong advertiser demand beyond our own inventory through our Opera Ads platform.</w:t>
      </w:r>
    </w:p>
    <w:p>
      <w:pPr>
        <w:ind w:left="660" w:right="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Opera’s average monthly active user base was 339 million MAUs in the quarter; with a continued directional shift towards higher ARPU markets. User growth was the strongest in the Americas, this time led by North America up 15% and South America up 10%, while we continue to focus investments in emerging markets towards users that we believe will be monetizable.</w:t>
      </w:r>
    </w:p>
    <w:p>
      <w:pPr>
        <w:spacing w:after="0" w:line="1"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Opera GX gaming browser had over 16 million monthly active users across PC and mobile in the first quarter, representing a continued healthy trajectory with 14% sequential growth versus the prior quarter.</w:t>
      </w:r>
    </w:p>
    <w:p>
      <w:pPr>
        <w:ind w:left="660" w:right="1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beta version of the Opera Web3 browser was released as the newest addition to our family of browsers. We also announced support for most major blockchain ecosystems in the Opera wallet.</w:t>
      </w: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sold our minority stakes in both Nanobank and Star X (formerly known as StarMaker), with the second sale happening post quarter-end. In the aggregate, the two sales represent $211 million of cash proceeds receivable with no contingencies. In addition we held $182 million of cash and marketable securities at the end of Q1, and we continue to hold our 6.44% stake in OPay.</w:t>
      </w:r>
    </w:p>
    <w:p>
      <w:pPr>
        <w:spacing w:after="0" w:line="1" w:lineRule="exact"/>
        <w:rPr>
          <w:rFonts w:ascii="Arial" w:cs="Arial" w:eastAsia="Arial" w:hAnsi="Arial"/>
          <w:sz w:val="18"/>
          <w:szCs w:val="18"/>
          <w:color w:val="auto"/>
        </w:rPr>
      </w:pPr>
    </w:p>
    <w:p>
      <w:pPr>
        <w:ind w:left="660" w:right="60" w:hanging="328"/>
        <w:spacing w:after="0" w:line="26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During the quarter the company repurchased 569 thousand ADSs at an average price of $5.33, for a total spend of $3 million, leaving $47 million remaining under our existing buyback authorization.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“Due to the core revenue generation of our business scaling ahead of expectation, we exceeded the top of our guidance ranges for both revenue and adjusted EBITDA in the first quarter and we are in a position to maintain our prior full-year guidance” said CFO Frode Jacobsen. “Revenues generated from our users located in Russia, Belarus and Ukraine accounted for approximately 10% of our revenue in the past, and it is the strength of our underlying business that offsets the expected decline in this region for the year as a whole.”</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full year of 2022, Opera expects revenue of $300 million to $310 million, representing a 22% increase at the midpoint, and adjusted EBITDA to be between $50 million and $60 million, or an 18% margin at the midpoint, versus 12% for 2021.</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second quarter of 2022, Opera expects revenue of $71 million to $74 million, representing 21% year-over-year growth at the midpoint. Adjusted EBITDA is expected to be between $8 million and $12 million, representing a 14% margin at the midpoint.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Other updates</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During the first quarter, Opera sold its 42.35% equity stake in Nanobank for $127.1 million, payable in equal installments over the next eight quarters without contingencies. This represented a $16.5 million gain realization relative to the carrying value of the fintech business Opera contributed to Nanobank in 2020 in exchange for the ownership stake obtained.</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Subsequent to the close of the quarter, Opera sold its 19.35% equity stake in Star X for $83.5 million, payable in three installments without contingencies, representing a $53.5 million cash return on our $30 million investment in 2018.</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total, Opera stands to collect $211 million from these two divestments, or approximately $215 million inclusive of an interest component, of which $76 million will be collected in 2022, $93 million in 2023 and $46 million in 2024. The proceeds are discounted to their present value on our balance sheet, with only the Nanobank sale reflected as of March 31, 2022.</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present value of these transactions was also incorporated in our recently published audited financials as the most reliable fair value assessment of the former equity positions as of year-end 2021. Consequently, these sales have not affected our financial results in 2022.</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 continues to hold an investment in OPay. We sold 29% of our equity stake in OPay in 2021 for $50 million, and our remaining shares, representing 6.44% ownership in OPay, have been classified as held for sale on our balance sheet.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2022 consolidated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in this section are relative to the first quarter of 2021 unless otherwise stated.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increased 39% to $71.6 million in the quarter.</w:t>
      </w:r>
    </w:p>
    <w:p>
      <w:pPr>
        <w:spacing w:after="0" w:line="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Search revenue increased by 20% to $32.0 million driven by both PC and mobile browser monetization growth.</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Advertising revenue increased by 64% to $38.5 million, predominantly fueled by monetization growth within Opera News and our mobile browsers, as well as our audience extension supported by the Opera Ads platform.</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Technology licensing and other revenue was $1.1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increased by 33% to $70.4 million.</w:t>
      </w:r>
    </w:p>
    <w:p>
      <w:pPr>
        <w:spacing w:after="0" w:line="27" w:lineRule="exact"/>
        <w:rPr>
          <w:sz w:val="20"/>
          <w:szCs w:val="20"/>
          <w:color w:val="auto"/>
        </w:rPr>
      </w:pPr>
    </w:p>
    <w:p>
      <w:pPr>
        <w:ind w:left="660" w:right="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Combined technology and platform fees, content cost and cost of inventory sold was $8.0 million, or 11% of revenue, compared to 4% of revenue in the year-ago quarter. The increase was fueled by our audience extension that carries insignificant other incremental expenses.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Personnel expenses, including share-based remuneration, were $16.4 million, a 4% reduction. This expense consists of cash-based compensation expense of $14.5 million, a 9% decrease year-over-year, or 3% sequential increase versus the prior quarter. Share-based remuneration expense was $1.9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Marketing and distribution expenses were $34.1 million, an increase of 46% year-over-year, or 14% sequentially versus the prior quarter.</w:t>
      </w:r>
    </w:p>
    <w:p>
      <w:pPr>
        <w:spacing w:after="0" w:line="20" w:lineRule="exact"/>
        <w:rPr>
          <w:rFonts w:ascii="Arial" w:cs="Arial" w:eastAsia="Arial" w:hAnsi="Arial"/>
          <w:sz w:val="17"/>
          <w:szCs w:val="17"/>
          <w:color w:val="auto"/>
        </w:rPr>
      </w:pP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Depreciation and amortization expenses were $3.6 million, a 29% decrease, predominantly related to completed amortizations in connection with acquired intangible assets.</w:t>
      </w:r>
    </w:p>
    <w:p>
      <w:pPr>
        <w:ind w:left="660" w:right="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operating expenses were $8.2 million, a 51% increase predominantly driven by advisory services and a non-recurring and non-cash accounting effect of the divestment of Nanobank, as we reclassified our accumulated share of Nanobank's foreign currency translation differences from the Statement of Comprehensive Income to the Statement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was $1.3 million compared to an operating loss of $1.5 million in the first quarter of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items </w:t>
      </w:r>
      <w:r>
        <w:rPr>
          <w:rFonts w:ascii="Arial" w:cs="Arial" w:eastAsia="Arial" w:hAnsi="Arial"/>
          <w:sz w:val="18"/>
          <w:szCs w:val="18"/>
          <w:color w:val="auto"/>
        </w:rPr>
        <w:t>in the quarter include a finance expense of $9.9 million associated with value fluctuations on our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expense was $0.6 million in the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was $9.4 million. This compared to a net income of $0.6 million in the first quarter of 2021.</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Net loss per ADS </w:t>
      </w:r>
      <w:r>
        <w:rPr>
          <w:rFonts w:ascii="Arial" w:cs="Arial" w:eastAsia="Arial" w:hAnsi="Arial"/>
          <w:sz w:val="18"/>
          <w:szCs w:val="18"/>
          <w:color w:val="auto"/>
        </w:rPr>
        <w:t>was $0.08 in the quarter. Each ADS represents two shares in Opera Limited. In the quarter, the average number of shares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was 231.6 million, corresponding to 115.8 million ADSs.</w:t>
      </w:r>
    </w:p>
    <w:p>
      <w:pPr>
        <w:spacing w:after="0" w:line="162" w:lineRule="exact"/>
        <w:rPr>
          <w:sz w:val="20"/>
          <w:szCs w:val="20"/>
          <w:color w:val="auto"/>
        </w:rPr>
      </w:pPr>
    </w:p>
    <w:p>
      <w:pPr>
        <w:ind w:right="360"/>
        <w:spacing w:after="0" w:line="312"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was $7.3 million, representing a 10% margin, compared to adjusted EBITDA of $4.6 million in the first quarter of 2021. Adjusted</w:t>
      </w:r>
      <w:r>
        <w:rPr>
          <w:rFonts w:ascii="Arial" w:cs="Arial" w:eastAsia="Arial" w:hAnsi="Arial"/>
          <w:sz w:val="17"/>
          <w:szCs w:val="17"/>
          <w:b w:val="1"/>
          <w:bCs w:val="1"/>
          <w:color w:val="auto"/>
        </w:rPr>
        <w:t xml:space="preserve"> </w:t>
      </w:r>
      <w:r>
        <w:rPr>
          <w:rFonts w:ascii="Arial" w:cs="Arial" w:eastAsia="Arial" w:hAnsi="Arial"/>
          <w:sz w:val="17"/>
          <w:szCs w:val="17"/>
          <w:color w:val="auto"/>
        </w:rPr>
        <w:t>EBITDA excludes share-based remuneration and non-recurring expenses, as well as other income and discontinued operations.</w:t>
      </w:r>
    </w:p>
    <w:p>
      <w:pPr>
        <w:spacing w:after="0" w:line="140" w:lineRule="exact"/>
        <w:rPr>
          <w:sz w:val="20"/>
          <w:szCs w:val="20"/>
          <w:color w:val="auto"/>
        </w:rPr>
      </w:pPr>
    </w:p>
    <w:p>
      <w:pPr>
        <w:ind w:right="560"/>
        <w:spacing w:after="0" w:line="347" w:lineRule="auto"/>
        <w:rPr>
          <w:sz w:val="20"/>
          <w:szCs w:val="20"/>
          <w:color w:val="auto"/>
        </w:rPr>
      </w:pPr>
      <w:r>
        <w:rPr>
          <w:rFonts w:ascii="Arial" w:cs="Arial" w:eastAsia="Arial" w:hAnsi="Arial"/>
          <w:sz w:val="16"/>
          <w:szCs w:val="16"/>
          <w:b w:val="1"/>
          <w:bCs w:val="1"/>
          <w:color w:val="auto"/>
        </w:rPr>
        <w:t xml:space="preserve">Adjusted net loss </w:t>
      </w:r>
      <w:r>
        <w:rPr>
          <w:rFonts w:ascii="Arial" w:cs="Arial" w:eastAsia="Arial" w:hAnsi="Arial"/>
          <w:sz w:val="16"/>
          <w:szCs w:val="16"/>
          <w:color w:val="auto"/>
        </w:rPr>
        <w:t>was $6.4 million in the quarter, compared to adjusted net income of $4.6 million in the first quarter of 2021. Adjusted net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excludes share-based remuneration, non-recurring expenses, discontinued operations and amortization of intangible assets related to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net loss per ADS </w:t>
      </w:r>
      <w:r>
        <w:rPr>
          <w:rFonts w:ascii="Arial" w:cs="Arial" w:eastAsia="Arial" w:hAnsi="Arial"/>
          <w:sz w:val="18"/>
          <w:szCs w:val="18"/>
          <w:color w:val="auto"/>
        </w:rPr>
        <w:t>was $0.05 in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 xml:space="preserve">We have posted Opera’s unaudited financial historical results by quarter since 2019 at </w:t>
      </w:r>
      <w:r>
        <w:rPr>
          <w:rFonts w:ascii="Arial" w:cs="Arial" w:eastAsia="Arial" w:hAnsi="Arial"/>
          <w:sz w:val="18"/>
          <w:szCs w:val="18"/>
          <w:u w:val="single" w:color="auto"/>
          <w:color w:val="auto"/>
        </w:rPr>
        <w:t>https://investor.opera.com</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Opera’s management will host a conference call to discuss the first quarter 2022 financial results on Thursday, April 28th at 8:00 am Eastern Time (EST)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 PM Central European Time, 8:00 PM Beijing/Hong Kong time). Listeners may access the call by dialing the following numbers: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+1 800-895-3361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 +10-800-714-1507 or +10-800-140-1382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+80-090-1494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 +47 80-01-3780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+44 0-808-101-1183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+1 785-424-1744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Confirmation Code: OPRAQ122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live webcast of the conference call will be posted at </w:t>
      </w:r>
      <w:r>
        <w:rPr>
          <w:rFonts w:ascii="Arial" w:cs="Arial" w:eastAsia="Arial" w:hAnsi="Arial"/>
          <w:sz w:val="18"/>
          <w:szCs w:val="18"/>
          <w:u w:val="single" w:color="auto"/>
          <w:color w:val="auto"/>
        </w:rPr>
        <w:t>https://investor.opera.com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be tweeting highlights from our prepared remarks. Please follow along @InvestorOpera.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non-IFRS financial measures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 supplement our consolidated financial statements, which are prepared and presented based on IFRS, we use adjusted EBITDA and adjusted net income, both non-IFRS financial measures, to understand and evaluate our core operating performance. These non-IFRS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IFRS.</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define adjusted EBITDA as net income (loss) excluding income tax expense (benefit), net finance expense (income), share of net loss (income) of equity-accounted investees, fair value loss (gain) from investments, depreciation and amortization, impairment of non-financial assets, impairment of equity-accounted investees, share-based remuneration, credit loss expense related to divested joint venture, non-recurring expenses, less other operating income and (profit) loss from discontinued operations.</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define adjusted net income (loss) as net income (loss) excluding share-based remuneration, amortization cost related to acquired intangible assets, amortization of Nanobank intangible assets, credit loss expense related to divested joint venture and other non-recurring expenses, and (profit) loss from discontinued operations, adjusted for the associated tax benefit related to such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8" w:name="page9"/>
    <w:bookmarkEnd w:id="8"/>
    <w:p>
      <w:pPr>
        <w:spacing w:after="0" w:line="255" w:lineRule="auto"/>
        <w:rPr>
          <w:sz w:val="20"/>
          <w:szCs w:val="20"/>
          <w:color w:val="auto"/>
        </w:rPr>
      </w:pPr>
      <w:r>
        <w:rPr>
          <w:rFonts w:ascii="Arial" w:cs="Arial" w:eastAsia="Arial" w:hAnsi="Arial"/>
          <w:sz w:val="18"/>
          <w:szCs w:val="18"/>
          <w:color w:val="auto"/>
        </w:rPr>
        <w:t>We believe that adjusted EBITDA and adjusted net income provide useful information to investors and others in understanding and evaluating our operating results. These non-IFRS financial measures adjust for the impact of items that we do not consider indicative of the operational performance of our business. While we believe that these non-IFRS financial measures are useful in evaluating our business, this information should be considered as supplemental in nature and is not meant as a substitute for the related financial information prepared and presented in accordance with IFRS. Please refer to our financial statements at the end of this announcement for a table reconciling our non-IFRS financial measures to net income (loss), the most directly comparable IFRS financial measure.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statements of a forward-looking nature. These statements, including statements relating to the Company and its investees’ future financial and operating results, are made under the “safe harbor” provisions of the U.S. Private Securities Litigation Reform Act of 1995. You can identify these forward-looking statements by terminology such as “will,” “may,” “expect,” “believe,” “anticipate,” “intend,” “aim,” “estimate,” “intend,” “seek,” “plan,” “potential,” “continue,” “ongoing,” “target,” “guidance,” “is/are likely to,” “future” and similar statements. Among other things, management’s quotations and the Business outlook section contain forward-looking statements. The Company may also make forward-looking statements in its periodic reports to the U.S. Securities and Exchange Commission (the “SEC”), in press releases and other written materials and in oral statements made by its officers, directors or employees to third parties. These forward-looking statements involve known and unknown risks and uncertainties and are based on current expectations, assumptions, estimates and projections about the Company, its investees, and the industry in which they operate. Potential risks and uncertainties include, but are not limited to, those relating to: the duration and development of the conflict in Ukraine and the COVID-19 pandemic, as well as resulting changes in consumer behaviors; the outcome of regulatory processes or litigation; the Company and its goals and strategies; expected development and launch, and market acceptance, of products and services; Company’s expectations regarding demand for and market acceptance of its brands, platforms and services; Company’s expectations regarding growth in its user base, user retention and level of engagement; Company’s ability to attract, retain and monetize users; Company’s ability to continue to develop new technologies, products and services and/or upgrade its existing technologies, products and services; quarterly variations in Company’s operating results caused by factors beyond its control; and global macroeconomic conditions and their potential impact in the markets in which the Company has business. All information provided in this press release is as of the date hereof and is based on assumptions that the Company believes to be reasonable as of this date, and it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the Company’s filings with the SEC, including its annual reports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About Opera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Opera is a global web innovator. Opera's browsers, gaming, Web3 and news products are the trusted choice of hundreds of millions of users worldwide.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Opera is headquartered in Oslo, Norway and listed on the NASDAQ stock exchange (OPRA). Download the Opera browser from www.opera.com.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Learn more about Opera at www.investor.opera.com or on Twitter @InvestorOpera.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Matthew Wolfson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investor-relations@opera.com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media enquiries, please contact: press-team@opera.com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580" w:right="6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statement of operations</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20" w:type="dxa"/>
            <w:vAlign w:val="bottom"/>
            <w:vMerge w:val="restart"/>
          </w:tcPr>
          <w:p>
            <w:pPr>
              <w:spacing w:after="0"/>
              <w:rPr>
                <w:sz w:val="20"/>
                <w:szCs w:val="20"/>
                <w:color w:val="auto"/>
              </w:rPr>
            </w:pPr>
            <w:r>
              <w:rPr>
                <w:rFonts w:ascii="Arial" w:cs="Arial" w:eastAsia="Arial" w:hAnsi="Arial"/>
                <w:sz w:val="18"/>
                <w:szCs w:val="18"/>
                <w:color w:val="auto"/>
              </w:rPr>
              <w:t>[US$ thousands, except per ADS and share amounts]</w:t>
            </w:r>
          </w:p>
        </w:tc>
        <w:tc>
          <w:tcPr>
            <w:tcW w:w="120" w:type="dxa"/>
            <w:vAlign w:val="bottom"/>
            <w:vMerge w:val="restart"/>
          </w:tcPr>
          <w:p>
            <w:pPr>
              <w:spacing w:after="0"/>
              <w:rPr>
                <w:sz w:val="24"/>
                <w:szCs w:val="24"/>
                <w:color w:val="auto"/>
              </w:rPr>
            </w:pPr>
          </w:p>
        </w:tc>
        <w:tc>
          <w:tcPr>
            <w:tcW w:w="33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51,583</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71,583</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Other operating income</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Technology and platform fees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(873)</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Content cost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Cost of inventory sold</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Personnel expenses including share-based remuneration</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(17,096)</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(16,428)</w:t>
            </w:r>
          </w:p>
        </w:tc>
        <w:tc>
          <w:tcPr>
            <w:tcW w:w="0" w:type="dxa"/>
            <w:vAlign w:val="bottom"/>
          </w:tcPr>
          <w:p>
            <w:pPr>
              <w:spacing w:after="0"/>
              <w:rPr>
                <w:sz w:val="1"/>
                <w:szCs w:val="1"/>
                <w:color w:val="auto"/>
              </w:rPr>
            </w:pPr>
          </w:p>
        </w:tc>
      </w:tr>
      <w:tr>
        <w:trPr>
          <w:trHeight w:val="216"/>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Marketing and distribution expenses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(23,357)</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(34,140)</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Credit loss expense</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(5,037)</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Non-recurring expenses</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Other operating expenses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(5,460)</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(7,456)</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(53,099)</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(70,413)</w:t>
            </w:r>
          </w:p>
        </w:tc>
        <w:tc>
          <w:tcPr>
            <w:tcW w:w="0" w:type="dxa"/>
            <w:vAlign w:val="bottom"/>
          </w:tcPr>
          <w:p>
            <w:pPr>
              <w:spacing w:after="0"/>
              <w:rPr>
                <w:sz w:val="1"/>
                <w:szCs w:val="1"/>
                <w:color w:val="auto"/>
              </w:rPr>
            </w:pPr>
          </w:p>
        </w:tc>
      </w:tr>
      <w:tr>
        <w:trPr>
          <w:trHeight w:val="20"/>
        </w:trPr>
        <w:tc>
          <w:tcPr>
            <w:tcW w:w="7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(loss)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(1,457)</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loss of equity-accounted investees</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Net finance income (expense):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 income</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1,717</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Finance expense</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(442)</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(9,947)</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foreign exchange gain (loss)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7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gridSpan w:val="2"/>
          </w:tcPr>
          <w:p>
            <w:pPr>
              <w:ind w:left="340"/>
              <w:spacing w:after="0"/>
              <w:rPr>
                <w:sz w:val="20"/>
                <w:szCs w:val="20"/>
                <w:color w:val="auto"/>
              </w:rPr>
            </w:pPr>
            <w:r>
              <w:rPr>
                <w:rFonts w:ascii="Arial" w:cs="Arial" w:eastAsia="Arial" w:hAnsi="Arial"/>
                <w:sz w:val="18"/>
                <w:szCs w:val="18"/>
                <w:b w:val="1"/>
                <w:bCs w:val="1"/>
                <w:color w:val="auto"/>
              </w:rPr>
              <w:t>Net finance income (expense)</w:t>
            </w:r>
          </w:p>
        </w:tc>
        <w:tc>
          <w:tcPr>
            <w:tcW w:w="1480" w:type="dxa"/>
            <w:vAlign w:val="bottom"/>
          </w:tcPr>
          <w:p>
            <w:pPr>
              <w:jc w:val="right"/>
              <w:spacing w:after="0"/>
              <w:rPr>
                <w:sz w:val="20"/>
                <w:szCs w:val="20"/>
                <w:color w:val="auto"/>
              </w:rPr>
            </w:pPr>
            <w:r>
              <w:rPr>
                <w:rFonts w:ascii="Arial" w:cs="Arial" w:eastAsia="Arial" w:hAnsi="Arial"/>
                <w:sz w:val="18"/>
                <w:szCs w:val="18"/>
                <w:color w:val="auto"/>
              </w:rPr>
              <w:t>1,413</w:t>
            </w:r>
          </w:p>
        </w:tc>
        <w:tc>
          <w:tcPr>
            <w:tcW w:w="2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(10,164)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(8,828)</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480" w:type="dxa"/>
            <w:vAlign w:val="bottom"/>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owners of the parent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(9,436)</w:t>
            </w:r>
          </w:p>
        </w:tc>
        <w:tc>
          <w:tcPr>
            <w:tcW w:w="0" w:type="dxa"/>
            <w:vAlign w:val="bottom"/>
          </w:tcPr>
          <w:p>
            <w:pPr>
              <w:spacing w:after="0"/>
              <w:rPr>
                <w:sz w:val="1"/>
                <w:szCs w:val="1"/>
                <w:color w:val="auto"/>
              </w:rPr>
            </w:pPr>
          </w:p>
        </w:tc>
      </w:tr>
      <w:tr>
        <w:trPr>
          <w:trHeight w:val="196"/>
        </w:trPr>
        <w:tc>
          <w:tcPr>
            <w:tcW w:w="78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 xml:space="preserve">Basic, millions </w:t>
            </w:r>
            <w:r>
              <w:rPr>
                <w:rFonts w:ascii="Arial" w:cs="Arial" w:eastAsia="Arial" w:hAnsi="Arial"/>
                <w:sz w:val="25"/>
                <w:szCs w:val="25"/>
                <w:color w:val="auto"/>
                <w:vertAlign w:val="superscript"/>
              </w:rPr>
              <w:t>(1)</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230.25</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231.63</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Diluted, millions </w:t>
            </w:r>
            <w:r>
              <w:rPr>
                <w:rFonts w:ascii="Arial" w:cs="Arial" w:eastAsia="Arial" w:hAnsi="Arial"/>
                <w:sz w:val="25"/>
                <w:szCs w:val="25"/>
                <w:color w:val="auto"/>
                <w:vertAlign w:val="superscript"/>
              </w:rPr>
              <w:t>(2)</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232.69</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232.05</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ADS and per share for net income (loss):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Basic earnings per ADS, US$</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 earnings per ADS, US$</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Basic earnings per share, US$</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 earnings per share, US$</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March 31, 2022, the total number of shares outstanding for Opera Limited was 230,710,528, equivalent to 115,355,264 ADSs.</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the net dilutive impact of employee equity awards, all of which are 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statement of comprehensive income</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40" w:type="dxa"/>
            <w:vAlign w:val="bottom"/>
            <w:vMerge w:val="restart"/>
          </w:tcPr>
          <w:p>
            <w:pPr>
              <w:spacing w:after="0"/>
              <w:rPr>
                <w:sz w:val="20"/>
                <w:szCs w:val="20"/>
                <w:color w:val="auto"/>
              </w:rPr>
            </w:pPr>
            <w:r>
              <w:rPr>
                <w:rFonts w:ascii="Arial" w:cs="Arial" w:eastAsia="Arial" w:hAnsi="Arial"/>
                <w:sz w:val="18"/>
                <w:szCs w:val="18"/>
                <w:color w:val="auto"/>
              </w:rPr>
              <w:t>[US$ thousands]</w:t>
            </w:r>
          </w:p>
        </w:tc>
        <w:tc>
          <w:tcPr>
            <w:tcW w:w="100" w:type="dxa"/>
            <w:vAlign w:val="bottom"/>
            <w:vMerge w:val="restart"/>
          </w:tcPr>
          <w:p>
            <w:pPr>
              <w:spacing w:after="0"/>
              <w:rPr>
                <w:sz w:val="24"/>
                <w:szCs w:val="24"/>
                <w:color w:val="auto"/>
              </w:rPr>
            </w:pPr>
          </w:p>
        </w:tc>
        <w:tc>
          <w:tcPr>
            <w:tcW w:w="35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76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(9,436)</w:t>
            </w: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w w:val="98"/>
              </w:rPr>
              <w:t>Items that may be reclassified to the Statement of Operations in subsequent periods (net of tax):</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340"/>
              <w:spacing w:after="0"/>
              <w:rPr>
                <w:sz w:val="20"/>
                <w:szCs w:val="20"/>
                <w:color w:val="auto"/>
              </w:rPr>
            </w:pPr>
            <w:r>
              <w:rPr>
                <w:rFonts w:ascii="Arial" w:cs="Arial" w:eastAsia="Arial" w:hAnsi="Arial"/>
                <w:sz w:val="18"/>
                <w:szCs w:val="18"/>
                <w:color w:val="auto"/>
              </w:rPr>
              <w:t>Exchange differences on translation of foreign operations</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(1,316)</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Reclassification of share of other comprehensive income (loss) of equity-accounted investees</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7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gridSpan w:val="2"/>
          </w:tcPr>
          <w:p>
            <w:pPr>
              <w:ind w:left="500"/>
              <w:spacing w:after="0"/>
              <w:rPr>
                <w:sz w:val="20"/>
                <w:szCs w:val="20"/>
                <w:color w:val="auto"/>
              </w:rPr>
            </w:pPr>
            <w:r>
              <w:rPr>
                <w:rFonts w:ascii="Arial" w:cs="Arial" w:eastAsia="Arial" w:hAnsi="Arial"/>
                <w:sz w:val="18"/>
                <w:szCs w:val="18"/>
                <w:b w:val="1"/>
                <w:bCs w:val="1"/>
                <w:color w:val="auto"/>
              </w:rPr>
              <w:t>Other comprehensive loss</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(1,316)</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attributable to owners of the parent</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(9,496)</w:t>
            </w:r>
          </w:p>
        </w:tc>
        <w:tc>
          <w:tcPr>
            <w:tcW w:w="0" w:type="dxa"/>
            <w:vAlign w:val="bottom"/>
          </w:tcPr>
          <w:p>
            <w:pPr>
              <w:spacing w:after="0"/>
              <w:rPr>
                <w:sz w:val="1"/>
                <w:szCs w:val="1"/>
                <w:color w:val="auto"/>
              </w:rPr>
            </w:pPr>
          </w:p>
        </w:tc>
      </w:tr>
      <w:tr>
        <w:trPr>
          <w:trHeight w:val="555"/>
        </w:trPr>
        <w:tc>
          <w:tcPr>
            <w:tcW w:w="76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statement of financial position</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00" w:type="dxa"/>
            <w:vAlign w:val="bottom"/>
            <w:vMerge w:val="restart"/>
          </w:tcPr>
          <w:p>
            <w:pPr>
              <w:spacing w:after="0"/>
              <w:rPr>
                <w:sz w:val="20"/>
                <w:szCs w:val="20"/>
                <w:color w:val="auto"/>
              </w:rPr>
            </w:pPr>
            <w:r>
              <w:rPr>
                <w:rFonts w:ascii="Arial" w:cs="Arial" w:eastAsia="Arial" w:hAnsi="Arial"/>
                <w:sz w:val="18"/>
                <w:szCs w:val="18"/>
                <w:color w:val="auto"/>
              </w:rPr>
              <w:t>[US$ thousands]</w:t>
            </w:r>
          </w:p>
        </w:tc>
        <w:tc>
          <w:tcPr>
            <w:tcW w:w="100" w:type="dxa"/>
            <w:vAlign w:val="bottom"/>
            <w:vMerge w:val="restart"/>
          </w:tcPr>
          <w:p>
            <w:pPr>
              <w:spacing w:after="0"/>
              <w:rPr>
                <w:sz w:val="24"/>
                <w:szCs w:val="2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As of December 31,</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As of March 31,</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12,263</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10,977</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103,627</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102,814</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430,378</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430,121</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Non-current receivables from sale of investments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58,688</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Non-current investments and financial assets</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2,883</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2,323</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
        </w:trPr>
        <w:tc>
          <w:tcPr>
            <w:tcW w:w="7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gridSpan w:val="2"/>
          </w:tcPr>
          <w:p>
            <w:pPr>
              <w:ind w:left="340"/>
              <w:spacing w:after="0"/>
              <w:rPr>
                <w:sz w:val="20"/>
                <w:szCs w:val="20"/>
                <w:color w:val="auto"/>
              </w:rPr>
            </w:pPr>
            <w:r>
              <w:rPr>
                <w:rFonts w:ascii="Arial" w:cs="Arial" w:eastAsia="Arial" w:hAnsi="Arial"/>
                <w:sz w:val="18"/>
                <w:szCs w:val="18"/>
                <w:color w:val="auto"/>
              </w:rPr>
              <w:t>Total non-current assets</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551,475</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607,751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Trade receivables</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43,864</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43,341</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receivables from sale of investments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61,623</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Other current receivables</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18,538</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Prepayments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9,192</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7,676</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Marketable securities</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78,135</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64,566</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102,876</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117,786</w:t>
            </w:r>
          </w:p>
        </w:tc>
        <w:tc>
          <w:tcPr>
            <w:tcW w:w="0" w:type="dxa"/>
            <w:vAlign w:val="bottom"/>
          </w:tcPr>
          <w:p>
            <w:pPr>
              <w:spacing w:after="0"/>
              <w:rPr>
                <w:sz w:val="1"/>
                <w:szCs w:val="1"/>
                <w:color w:val="auto"/>
              </w:rPr>
            </w:pPr>
          </w:p>
        </w:tc>
      </w:tr>
      <w:tr>
        <w:trPr>
          <w:trHeight w:val="20"/>
        </w:trPr>
        <w:tc>
          <w:tcPr>
            <w:tcW w:w="7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gridSpan w:val="2"/>
          </w:tcPr>
          <w:p>
            <w:pPr>
              <w:ind w:left="340"/>
              <w:spacing w:after="0"/>
              <w:rPr>
                <w:sz w:val="20"/>
                <w:szCs w:val="20"/>
                <w:color w:val="auto"/>
              </w:rPr>
            </w:pPr>
            <w:r>
              <w:rPr>
                <w:rFonts w:ascii="Arial" w:cs="Arial" w:eastAsia="Arial" w:hAnsi="Arial"/>
                <w:sz w:val="18"/>
                <w:szCs w:val="18"/>
                <w:color w:val="auto"/>
              </w:rPr>
              <w:t>Total cash, cash equivalents, and marketable securities</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181,011</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182,352</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288,379</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168,068</w:t>
            </w:r>
          </w:p>
        </w:tc>
        <w:tc>
          <w:tcPr>
            <w:tcW w:w="0" w:type="dxa"/>
            <w:vAlign w:val="bottom"/>
          </w:tcPr>
          <w:p>
            <w:pPr>
              <w:spacing w:after="0"/>
              <w:rPr>
                <w:sz w:val="1"/>
                <w:szCs w:val="1"/>
                <w:color w:val="auto"/>
              </w:rPr>
            </w:pPr>
          </w:p>
        </w:tc>
      </w:tr>
      <w:tr>
        <w:trPr>
          <w:trHeight w:val="20"/>
        </w:trPr>
        <w:tc>
          <w:tcPr>
            <w:tcW w:w="7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540,986</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466,533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1,092,460</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1,074,284</w:t>
            </w:r>
          </w:p>
        </w:tc>
        <w:tc>
          <w:tcPr>
            <w:tcW w:w="0" w:type="dxa"/>
            <w:vAlign w:val="bottom"/>
          </w:tcPr>
          <w:p>
            <w:pPr>
              <w:spacing w:after="0"/>
              <w:rPr>
                <w:sz w:val="1"/>
                <w:szCs w:val="1"/>
                <w:color w:val="auto"/>
              </w:rPr>
            </w:pPr>
          </w:p>
        </w:tc>
      </w:tr>
      <w:tr>
        <w:trPr>
          <w:trHeight w:val="197"/>
        </w:trPr>
        <w:tc>
          <w:tcPr>
            <w:tcW w:w="7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Share capital</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paid in capital</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764,381</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761,336</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249,155</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241,686</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reserve</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
        </w:trPr>
        <w:tc>
          <w:tcPr>
            <w:tcW w:w="7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equity attributable to owners of the parent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1,013,039</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1,002,466</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Non-current lease liabilities and other loans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2,081</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Deferred tax liabilities</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6,532</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2"/>
          </w:tcPr>
          <w:p>
            <w:pPr>
              <w:ind w:left="340"/>
              <w:spacing w:after="0"/>
              <w:rPr>
                <w:sz w:val="20"/>
                <w:szCs w:val="20"/>
                <w:color w:val="auto"/>
              </w:rPr>
            </w:pPr>
            <w:r>
              <w:rPr>
                <w:rFonts w:ascii="Arial" w:cs="Arial" w:eastAsia="Arial" w:hAnsi="Arial"/>
                <w:sz w:val="18"/>
                <w:szCs w:val="18"/>
                <w:color w:val="auto"/>
              </w:rPr>
              <w:t>Total non-current liabilities</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8,635</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Trade and other payables</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38,378</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47,917</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lease liabilities and other loans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11,427</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Income tax payable</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763</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19,125</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70,786</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64,172</w:t>
            </w:r>
          </w:p>
        </w:tc>
        <w:tc>
          <w:tcPr>
            <w:tcW w:w="0" w:type="dxa"/>
            <w:vAlign w:val="bottom"/>
          </w:tcPr>
          <w:p>
            <w:pPr>
              <w:spacing w:after="0"/>
              <w:rPr>
                <w:sz w:val="1"/>
                <w:szCs w:val="1"/>
                <w:color w:val="auto"/>
              </w:rPr>
            </w:pPr>
          </w:p>
        </w:tc>
      </w:tr>
      <w:tr>
        <w:trPr>
          <w:trHeight w:val="20"/>
        </w:trPr>
        <w:tc>
          <w:tcPr>
            <w:tcW w:w="7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79,421</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71,818</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1,092,460</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1,074,284</w:t>
            </w:r>
          </w:p>
        </w:tc>
        <w:tc>
          <w:tcPr>
            <w:tcW w:w="0" w:type="dxa"/>
            <w:vAlign w:val="bottom"/>
          </w:tcPr>
          <w:p>
            <w:pPr>
              <w:spacing w:after="0"/>
              <w:rPr>
                <w:sz w:val="1"/>
                <w:szCs w:val="1"/>
                <w:color w:val="auto"/>
              </w:rPr>
            </w:pPr>
          </w:p>
        </w:tc>
      </w:tr>
      <w:tr>
        <w:trPr>
          <w:trHeight w:val="555"/>
        </w:trPr>
        <w:tc>
          <w:tcPr>
            <w:tcW w:w="76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Arial" w:cs="Arial" w:eastAsia="Arial" w:hAnsi="Arial"/>
                <w:sz w:val="18"/>
                <w:szCs w:val="18"/>
                <w:b w:val="1"/>
                <w:bCs w:val="1"/>
                <w:color w:val="auto"/>
                <w:w w:val="90"/>
              </w:rPr>
              <w:t>Unaudited consolidated statement of changes in equity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1"/>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equity</w:t>
            </w: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currency</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attributable to</w:t>
            </w: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3"/>
              </w:rPr>
              <w:t>Other paid in</w:t>
            </w:r>
          </w:p>
        </w:tc>
        <w:tc>
          <w:tcPr>
            <w:tcW w:w="124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w w:val="89"/>
              </w:rPr>
              <w:t>Retained</w:t>
            </w:r>
          </w:p>
        </w:tc>
        <w:tc>
          <w:tcPr>
            <w:tcW w:w="13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1"/>
              </w:rPr>
              <w:t>translation</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owners of the</w:t>
            </w:r>
          </w:p>
        </w:tc>
      </w:tr>
      <w:tr>
        <w:trPr>
          <w:trHeight w:val="234"/>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20"/>
                <w:szCs w:val="20"/>
                <w:color w:val="auto"/>
              </w:rPr>
            </w:pPr>
          </w:p>
        </w:tc>
        <w:tc>
          <w:tcPr>
            <w:tcW w:w="11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4"/>
              </w:rPr>
              <w:t>Share capital</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capital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parent</w:t>
            </w:r>
          </w:p>
        </w:tc>
        <w:tc>
          <w:tcPr>
            <w:tcW w:w="120" w:type="dxa"/>
            <w:vAlign w:val="bottom"/>
          </w:tcPr>
          <w:p>
            <w:pPr>
              <w:spacing w:after="0"/>
              <w:rPr>
                <w:sz w:val="20"/>
                <w:szCs w:val="20"/>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1520" w:type="dxa"/>
            <w:vAlign w:val="bottom"/>
            <w:tcBorders>
              <w:right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765,129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287,246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1,053,743</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(1,316)</w:t>
            </w:r>
          </w:p>
        </w:tc>
      </w:tr>
      <w:tr>
        <w:trPr>
          <w:trHeight w:val="20"/>
        </w:trPr>
        <w:tc>
          <w:tcPr>
            <w:tcW w:w="4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r>
      <w:tr>
        <w:trPr>
          <w:trHeight w:val="210"/>
        </w:trPr>
        <w:tc>
          <w:tcPr>
            <w:tcW w:w="4320" w:type="dxa"/>
            <w:vAlign w:val="bottom"/>
          </w:tcPr>
          <w:p>
            <w:pPr>
              <w:ind w:left="340"/>
              <w:spacing w:after="0"/>
              <w:rPr>
                <w:sz w:val="20"/>
                <w:szCs w:val="20"/>
                <w:color w:val="auto"/>
              </w:rPr>
            </w:pPr>
            <w:r>
              <w:rPr>
                <w:rFonts w:ascii="Arial" w:cs="Arial" w:eastAsia="Arial" w:hAnsi="Arial"/>
                <w:sz w:val="18"/>
                <w:szCs w:val="18"/>
                <w:b w:val="1"/>
                <w:bCs w:val="1"/>
                <w:color w:val="auto"/>
              </w:rPr>
              <w:t>Total comprehensive loss</w:t>
            </w:r>
          </w:p>
        </w:tc>
        <w:tc>
          <w:tcPr>
            <w:tcW w:w="120" w:type="dxa"/>
            <w:vAlign w:val="bottom"/>
          </w:tcPr>
          <w:p>
            <w:pPr>
              <w:spacing w:after="0"/>
              <w:rPr>
                <w:sz w:val="18"/>
                <w:szCs w:val="18"/>
                <w:color w:val="auto"/>
              </w:rPr>
            </w:pP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(677)</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treasury shares</w:t>
            </w:r>
          </w:p>
        </w:tc>
        <w:tc>
          <w:tcPr>
            <w:tcW w:w="1520" w:type="dxa"/>
            <w:vAlign w:val="bottom"/>
            <w:tcBorders>
              <w:right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(749)</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Share-based remuneration</w:t>
            </w:r>
          </w:p>
        </w:tc>
        <w:tc>
          <w:tcPr>
            <w:tcW w:w="120" w:type="dxa"/>
            <w:vAlign w:val="bottom"/>
          </w:tcPr>
          <w:p>
            <w:pPr>
              <w:spacing w:after="0"/>
              <w:rPr>
                <w:sz w:val="18"/>
                <w:szCs w:val="18"/>
                <w:color w:val="auto"/>
              </w:rPr>
            </w:pP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2021</w:t>
            </w:r>
          </w:p>
        </w:tc>
        <w:tc>
          <w:tcPr>
            <w:tcW w:w="1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764,381</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288,618</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1,053,049</w:t>
            </w:r>
          </w:p>
        </w:tc>
        <w:tc>
          <w:tcPr>
            <w:tcW w:w="120" w:type="dxa"/>
            <w:vAlign w:val="bottom"/>
            <w:tcBorders>
              <w:left w:val="single" w:sz="8" w:color="CCEEFF"/>
            </w:tcBorders>
            <w:shd w:val="clear" w:color="auto" w:fill="CCEEFF"/>
          </w:tcPr>
          <w:p>
            <w:pPr>
              <w:spacing w:after="0"/>
              <w:rPr>
                <w:sz w:val="21"/>
                <w:szCs w:val="21"/>
                <w:color w:val="auto"/>
              </w:rPr>
            </w:pPr>
          </w:p>
        </w:tc>
      </w:tr>
      <w:tr>
        <w:trPr>
          <w:trHeight w:val="664"/>
        </w:trPr>
        <w:tc>
          <w:tcPr>
            <w:tcW w:w="4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equity</w:t>
            </w:r>
          </w:p>
        </w:tc>
        <w:tc>
          <w:tcPr>
            <w:tcW w:w="120" w:type="dxa"/>
            <w:vAlign w:val="bottom"/>
            <w:tcBorders>
              <w:top w:val="single" w:sz="8" w:color="CCEEFF"/>
            </w:tcBorders>
          </w:tcPr>
          <w:p>
            <w:pPr>
              <w:spacing w:after="0"/>
              <w:rPr>
                <w:sz w:val="24"/>
                <w:szCs w:val="24"/>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attributable</w:t>
            </w: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currency</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w:t>
            </w: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Other paid in</w:t>
            </w:r>
          </w:p>
        </w:tc>
        <w:tc>
          <w:tcPr>
            <w:tcW w:w="12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Retained</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translation</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owners of the</w:t>
            </w:r>
          </w:p>
        </w:tc>
      </w:tr>
      <w:tr>
        <w:trPr>
          <w:trHeight w:val="234"/>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2"/>
              </w:rPr>
              <w:t>Share capital</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earnings</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parent</w:t>
            </w:r>
          </w:p>
        </w:tc>
        <w:tc>
          <w:tcPr>
            <w:tcW w:w="120" w:type="dxa"/>
            <w:vAlign w:val="bottom"/>
          </w:tcPr>
          <w:p>
            <w:pPr>
              <w:spacing w:after="0"/>
              <w:rPr>
                <w:sz w:val="20"/>
                <w:szCs w:val="20"/>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15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764,381</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249,155</w:t>
            </w:r>
          </w:p>
        </w:tc>
        <w:tc>
          <w:tcPr>
            <w:tcW w:w="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1,013,039</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5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(9,436)</w:t>
            </w: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(9,436)</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420" w:type="dxa"/>
            <w:vAlign w:val="bottom"/>
            <w:gridSpan w:val="3"/>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0"/>
        </w:trPr>
        <w:tc>
          <w:tcPr>
            <w:tcW w:w="4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r>
      <w:tr>
        <w:trPr>
          <w:trHeight w:val="209"/>
        </w:trPr>
        <w:tc>
          <w:tcPr>
            <w:tcW w:w="4320" w:type="dxa"/>
            <w:vAlign w:val="bottom"/>
          </w:tcPr>
          <w:p>
            <w:pPr>
              <w:ind w:left="340"/>
              <w:spacing w:after="0"/>
              <w:rPr>
                <w:sz w:val="20"/>
                <w:szCs w:val="20"/>
                <w:color w:val="auto"/>
              </w:rPr>
            </w:pPr>
            <w:r>
              <w:rPr>
                <w:rFonts w:ascii="Arial" w:cs="Arial" w:eastAsia="Arial" w:hAnsi="Arial"/>
                <w:sz w:val="18"/>
                <w:szCs w:val="18"/>
                <w:b w:val="1"/>
                <w:bCs w:val="1"/>
                <w:color w:val="auto"/>
              </w:rPr>
              <w:t>Total comprehensive loss</w:t>
            </w:r>
          </w:p>
        </w:tc>
        <w:tc>
          <w:tcPr>
            <w:tcW w:w="420" w:type="dxa"/>
            <w:vAlign w:val="bottom"/>
            <w:gridSpan w:val="3"/>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(9,436)</w:t>
            </w:r>
          </w:p>
        </w:tc>
        <w:tc>
          <w:tcPr>
            <w:tcW w:w="1300" w:type="dxa"/>
            <w:vAlign w:val="bottom"/>
            <w:gridSpan w:val="4"/>
          </w:tcPr>
          <w:p>
            <w:pPr>
              <w:jc w:val="right"/>
              <w:ind w:right="60"/>
              <w:spacing w:after="0"/>
              <w:rPr>
                <w:sz w:val="20"/>
                <w:szCs w:val="20"/>
                <w:color w:val="auto"/>
              </w:rPr>
            </w:pPr>
            <w:r>
              <w:rPr>
                <w:rFonts w:ascii="Arial" w:cs="Arial" w:eastAsia="Arial" w:hAnsi="Arial"/>
                <w:sz w:val="18"/>
                <w:szCs w:val="18"/>
                <w:color w:val="auto"/>
              </w:rPr>
              <w:t>(60)</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(9,496)</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treasury shares</w:t>
            </w:r>
          </w:p>
        </w:tc>
        <w:tc>
          <w:tcPr>
            <w:tcW w:w="15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(3,045)</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(3,045)</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Share-based remuneration</w:t>
            </w:r>
          </w:p>
        </w:tc>
        <w:tc>
          <w:tcPr>
            <w:tcW w:w="420" w:type="dxa"/>
            <w:vAlign w:val="bottom"/>
            <w:gridSpan w:val="3"/>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1,967</w:t>
            </w:r>
          </w:p>
        </w:tc>
        <w:tc>
          <w:tcPr>
            <w:tcW w:w="80" w:type="dxa"/>
            <w:vAlign w:val="bottom"/>
          </w:tcPr>
          <w:p>
            <w:pPr>
              <w:spacing w:after="0"/>
              <w:rPr>
                <w:sz w:val="18"/>
                <w:szCs w:val="18"/>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1,967</w:t>
            </w: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49"/>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2022</w:t>
            </w:r>
          </w:p>
        </w:tc>
        <w:tc>
          <w:tcPr>
            <w:tcW w:w="420" w:type="dxa"/>
            <w:vAlign w:val="bottom"/>
            <w:gridSpan w:val="3"/>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761,336</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241,687</w:t>
            </w:r>
          </w:p>
        </w:tc>
        <w:tc>
          <w:tcPr>
            <w:tcW w:w="80" w:type="dxa"/>
            <w:vAlign w:val="bottom"/>
            <w:shd w:val="clear" w:color="auto" w:fill="CCEEFF"/>
          </w:tcPr>
          <w:p>
            <w:pPr>
              <w:spacing w:after="0"/>
              <w:rPr>
                <w:sz w:val="21"/>
                <w:szCs w:val="21"/>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1,002,466</w:t>
            </w:r>
          </w:p>
        </w:tc>
      </w:tr>
      <w:tr>
        <w:trPr>
          <w:trHeight w:val="555"/>
        </w:trPr>
        <w:tc>
          <w:tcPr>
            <w:tcW w:w="43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statement of cash flows</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60" w:type="dxa"/>
            <w:vAlign w:val="bottom"/>
            <w:vMerge w:val="restart"/>
          </w:tcPr>
          <w:p>
            <w:pPr>
              <w:spacing w:after="0"/>
              <w:rPr>
                <w:sz w:val="20"/>
                <w:szCs w:val="20"/>
                <w:color w:val="auto"/>
              </w:rPr>
            </w:pPr>
            <w:r>
              <w:rPr>
                <w:rFonts w:ascii="Arial" w:cs="Arial" w:eastAsia="Arial" w:hAnsi="Arial"/>
                <w:sz w:val="18"/>
                <w:szCs w:val="18"/>
                <w:color w:val="auto"/>
              </w:rPr>
              <w:t>[US$ thousands]</w:t>
            </w:r>
          </w:p>
        </w:tc>
        <w:tc>
          <w:tcPr>
            <w:tcW w:w="120" w:type="dxa"/>
            <w:vAlign w:val="bottom"/>
            <w:vMerge w:val="restart"/>
          </w:tcPr>
          <w:p>
            <w:pPr>
              <w:spacing w:after="0"/>
              <w:rPr>
                <w:sz w:val="24"/>
                <w:szCs w:val="24"/>
                <w:color w:val="auto"/>
              </w:rPr>
            </w:pPr>
          </w:p>
        </w:tc>
        <w:tc>
          <w:tcPr>
            <w:tcW w:w="346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Net loss before income taxes</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(8,828)</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Adjustments to reconcile profit before income taxes to net cash flows: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Share-based payment expense</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733</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Share of net loss of equity-accounted investees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finance income (expense)</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(1,275)</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10,164</w:t>
            </w:r>
          </w:p>
        </w:tc>
        <w:tc>
          <w:tcPr>
            <w:tcW w:w="0" w:type="dxa"/>
            <w:vAlign w:val="bottom"/>
          </w:tcPr>
          <w:p>
            <w:pPr>
              <w:spacing w:after="0"/>
              <w:rPr>
                <w:sz w:val="1"/>
                <w:szCs w:val="1"/>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Other adjustments</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Changes in working capital:</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Change in trade and other receivables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prepayments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Change in inventories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loans to customers</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Change in trade and other payables</w:t>
            </w:r>
          </w:p>
        </w:tc>
        <w:tc>
          <w:tcPr>
            <w:tcW w:w="1540" w:type="dxa"/>
            <w:vAlign w:val="bottom"/>
          </w:tcPr>
          <w:p>
            <w:pPr>
              <w:jc w:val="right"/>
              <w:spacing w:after="0"/>
              <w:rPr>
                <w:sz w:val="20"/>
                <w:szCs w:val="20"/>
                <w:color w:val="auto"/>
              </w:rPr>
            </w:pPr>
            <w:r>
              <w:rPr>
                <w:rFonts w:ascii="Arial" w:cs="Arial" w:eastAsia="Arial" w:hAnsi="Arial"/>
                <w:sz w:val="18"/>
                <w:szCs w:val="18"/>
                <w:color w:val="auto"/>
              </w:rPr>
              <w:t>6,816</w:t>
            </w:r>
          </w:p>
        </w:tc>
        <w:tc>
          <w:tcPr>
            <w:tcW w:w="2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9,538</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deferred revenue</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Change in other liabilities</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(6,725)</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taxes received (paid)</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9"/>
        </w:trPr>
        <w:tc>
          <w:tcPr>
            <w:tcW w:w="7780" w:type="dxa"/>
            <w:vAlign w:val="bottom"/>
            <w:tcBorders>
              <w:top w:val="single" w:sz="8" w:color="CCEEFF"/>
            </w:tcBorders>
            <w:gridSpan w:val="2"/>
          </w:tcPr>
          <w:p>
            <w:pPr>
              <w:ind w:left="500"/>
              <w:spacing w:after="0"/>
              <w:rPr>
                <w:sz w:val="20"/>
                <w:szCs w:val="20"/>
                <w:color w:val="auto"/>
              </w:rPr>
            </w:pPr>
            <w:r>
              <w:rPr>
                <w:rFonts w:ascii="Arial" w:cs="Arial" w:eastAsia="Arial" w:hAnsi="Arial"/>
                <w:sz w:val="18"/>
                <w:szCs w:val="18"/>
                <w:b w:val="1"/>
                <w:bCs w:val="1"/>
                <w:color w:val="auto"/>
              </w:rPr>
              <w:t>Net cash flow from operating activities</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7,275</w:t>
            </w:r>
          </w:p>
        </w:tc>
        <w:tc>
          <w:tcPr>
            <w:tcW w:w="220" w:type="dxa"/>
            <w:vAlign w:val="bottom"/>
            <w:tcBorders>
              <w:top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13,464</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investment activities: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Purchase of equipment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(1,023)</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expenditure</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Acquisition of subsidiary, net of cash acquired</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(9,008)</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sale of listed equity instruments</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13,917</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Interest income received</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cash flow from investing activities</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2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 of treasury shares</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Proceeds from loans and borrowings</w:t>
            </w:r>
          </w:p>
        </w:tc>
        <w:tc>
          <w:tcPr>
            <w:tcW w:w="1540" w:type="dxa"/>
            <w:vAlign w:val="bottom"/>
          </w:tcPr>
          <w:p>
            <w:pPr>
              <w:jc w:val="right"/>
              <w:spacing w:after="0"/>
              <w:rPr>
                <w:sz w:val="20"/>
                <w:szCs w:val="20"/>
                <w:color w:val="auto"/>
              </w:rPr>
            </w:pPr>
            <w:r>
              <w:rPr>
                <w:rFonts w:ascii="Arial" w:cs="Arial" w:eastAsia="Arial" w:hAnsi="Arial"/>
                <w:sz w:val="18"/>
                <w:szCs w:val="18"/>
                <w:color w:val="auto"/>
              </w:rPr>
              <w:t>1,147</w:t>
            </w:r>
          </w:p>
        </w:tc>
        <w:tc>
          <w:tcPr>
            <w:tcW w:w="2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Interests on loans and borrowings</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Repayment of loans and borrowings</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of lease liabilities</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(1,060)</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7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tcPr>
          <w:p>
            <w:pPr>
              <w:ind w:left="500"/>
              <w:spacing w:after="0"/>
              <w:rPr>
                <w:sz w:val="20"/>
                <w:szCs w:val="20"/>
                <w:color w:val="auto"/>
              </w:rPr>
            </w:pPr>
            <w:r>
              <w:rPr>
                <w:rFonts w:ascii="Arial" w:cs="Arial" w:eastAsia="Arial" w:hAnsi="Arial"/>
                <w:sz w:val="18"/>
                <w:szCs w:val="18"/>
                <w:b w:val="1"/>
                <w:bCs w:val="1"/>
                <w:color w:val="auto"/>
              </w:rPr>
              <w:t>Net cash flow used in financing activities</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(740)</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2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540" w:type="dxa"/>
            <w:vAlign w:val="bottom"/>
          </w:tcPr>
          <w:p>
            <w:pPr>
              <w:jc w:val="right"/>
              <w:spacing w:after="0"/>
              <w:rPr>
                <w:sz w:val="20"/>
                <w:szCs w:val="20"/>
                <w:color w:val="auto"/>
              </w:rPr>
            </w:pPr>
            <w:r>
              <w:rPr>
                <w:rFonts w:ascii="Arial" w:cs="Arial" w:eastAsia="Arial" w:hAnsi="Arial"/>
                <w:sz w:val="18"/>
                <w:szCs w:val="18"/>
                <w:color w:val="auto"/>
              </w:rPr>
              <w:t>134,168</w:t>
            </w:r>
          </w:p>
        </w:tc>
        <w:tc>
          <w:tcPr>
            <w:tcW w:w="2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102,876</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foreign exchange difference</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0"/>
        </w:trPr>
        <w:tc>
          <w:tcPr>
            <w:tcW w:w="77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143,297</w:t>
            </w:r>
          </w:p>
        </w:tc>
        <w:tc>
          <w:tcPr>
            <w:tcW w:w="220" w:type="dxa"/>
            <w:vAlign w:val="bottom"/>
            <w:tcBorders>
              <w:top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117,786</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7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Financial details by business area</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360" w:type="dxa"/>
            <w:vAlign w:val="bottom"/>
            <w:gridSpan w:val="2"/>
          </w:tcPr>
          <w:p>
            <w:pPr>
              <w:spacing w:after="0"/>
              <w:rPr>
                <w:sz w:val="20"/>
                <w:szCs w:val="20"/>
                <w:color w:val="auto"/>
              </w:rPr>
            </w:pPr>
            <w:r>
              <w:rPr>
                <w:rFonts w:ascii="Arial" w:cs="Arial" w:eastAsia="Arial" w:hAnsi="Arial"/>
                <w:sz w:val="18"/>
                <w:szCs w:val="18"/>
                <w:color w:val="auto"/>
              </w:rPr>
              <w:t>The tables below specify the contribution by each business area:</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3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384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w w:val="93"/>
              </w:rPr>
              <w:t>Three Months Ended March 31, 2021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area</w:t>
            </w: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Browser and News</w:t>
            </w:r>
          </w:p>
        </w:tc>
        <w:tc>
          <w:tcPr>
            <w:tcW w:w="240" w:type="dxa"/>
            <w:vAlign w:val="bottom"/>
          </w:tcPr>
          <w:p>
            <w:pPr>
              <w:spacing w:after="0"/>
              <w:rPr>
                <w:sz w:val="18"/>
                <w:szCs w:val="18"/>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r>
      <w:tr>
        <w:trPr>
          <w:trHeight w:val="210"/>
        </w:trPr>
        <w:tc>
          <w:tcPr>
            <w:tcW w:w="63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4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Search</w:t>
            </w:r>
          </w:p>
        </w:tc>
        <w:tc>
          <w:tcPr>
            <w:tcW w:w="1420" w:type="dxa"/>
            <w:vAlign w:val="bottom"/>
          </w:tcPr>
          <w:p>
            <w:pPr>
              <w:jc w:val="right"/>
              <w:spacing w:after="0"/>
              <w:rPr>
                <w:sz w:val="20"/>
                <w:szCs w:val="20"/>
                <w:color w:val="auto"/>
              </w:rPr>
            </w:pPr>
            <w:r>
              <w:rPr>
                <w:rFonts w:ascii="Arial" w:cs="Arial" w:eastAsia="Arial" w:hAnsi="Arial"/>
                <w:sz w:val="18"/>
                <w:szCs w:val="18"/>
                <w:color w:val="auto"/>
              </w:rPr>
              <w:t>26,725</w:t>
            </w:r>
          </w:p>
        </w:tc>
        <w:tc>
          <w:tcPr>
            <w:tcW w:w="2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26,725</w:t>
            </w:r>
          </w:p>
        </w:tc>
      </w:tr>
      <w:tr>
        <w:trPr>
          <w:trHeight w:val="216"/>
        </w:trPr>
        <w:tc>
          <w:tcPr>
            <w:tcW w:w="63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22,763</w:t>
            </w:r>
          </w:p>
        </w:tc>
        <w:tc>
          <w:tcPr>
            <w:tcW w:w="240" w:type="dxa"/>
            <w:vAlign w:val="bottom"/>
            <w:tcBorders>
              <w:left w:val="single" w:sz="8" w:color="CCEEFF"/>
            </w:tcBorders>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23,430</w:t>
            </w: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Technology licensing and other revenue</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1,428</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1,428</w:t>
            </w:r>
          </w:p>
        </w:tc>
      </w:tr>
      <w:tr>
        <w:trPr>
          <w:trHeight w:val="20"/>
        </w:trPr>
        <w:tc>
          <w:tcPr>
            <w:tcW w:w="6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49,488</w:t>
            </w:r>
          </w:p>
        </w:tc>
        <w:tc>
          <w:tcPr>
            <w:tcW w:w="240" w:type="dxa"/>
            <w:vAlign w:val="bottom"/>
            <w:tcBorders>
              <w:left w:val="single" w:sz="8" w:color="CCEEFF"/>
            </w:tcBorders>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2,095</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51,583</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platform fees</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(719)</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w:t>
            </w: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Content cost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(834)</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r>
      <w:tr>
        <w:trPr>
          <w:trHeight w:val="216"/>
        </w:trPr>
        <w:tc>
          <w:tcPr>
            <w:tcW w:w="63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inventory sold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w:t>
            </w: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Marketing and distribution expenses</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(23,165)</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(23,357)</w:t>
            </w:r>
          </w:p>
        </w:tc>
      </w:tr>
      <w:tr>
        <w:trPr>
          <w:trHeight w:val="216"/>
        </w:trPr>
        <w:tc>
          <w:tcPr>
            <w:tcW w:w="63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 loss expense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left w:val="single" w:sz="8" w:color="CCEEFF"/>
            </w:tcBorders>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0"/>
        </w:trPr>
        <w:tc>
          <w:tcPr>
            <w:tcW w:w="62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direct expenses</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(24,672)</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(834)</w:t>
            </w: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(25,506)</w:t>
            </w:r>
          </w:p>
        </w:tc>
      </w:tr>
      <w:tr>
        <w:trPr>
          <w:trHeight w:val="20"/>
        </w:trPr>
        <w:tc>
          <w:tcPr>
            <w:tcW w:w="6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3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Contribution by business area</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24,816</w:t>
            </w:r>
          </w:p>
        </w:tc>
        <w:tc>
          <w:tcPr>
            <w:tcW w:w="240" w:type="dxa"/>
            <w:vAlign w:val="bottom"/>
            <w:tcBorders>
              <w:left w:val="single" w:sz="8" w:color="CCEEFF"/>
            </w:tcBorders>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1,261</w:t>
            </w: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26,077</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63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384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b w:val="1"/>
                <w:bCs w:val="1"/>
                <w:color w:val="auto"/>
                <w:w w:val="91"/>
              </w:rPr>
              <w:t>Three Months Ended March 31, 2022</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Business area</w:t>
            </w: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4"/>
              </w:rPr>
              <w:t>Browser and News</w:t>
            </w:r>
          </w:p>
        </w:tc>
        <w:tc>
          <w:tcPr>
            <w:tcW w:w="240" w:type="dxa"/>
            <w:vAlign w:val="bottom"/>
          </w:tcPr>
          <w:p>
            <w:pPr>
              <w:spacing w:after="0"/>
              <w:rPr>
                <w:sz w:val="18"/>
                <w:szCs w:val="18"/>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r>
      <w:tr>
        <w:trPr>
          <w:trHeight w:val="210"/>
        </w:trPr>
        <w:tc>
          <w:tcPr>
            <w:tcW w:w="63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4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Search</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32,027</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32,027</w:t>
            </w:r>
          </w:p>
        </w:tc>
      </w:tr>
      <w:tr>
        <w:trPr>
          <w:trHeight w:val="216"/>
        </w:trPr>
        <w:tc>
          <w:tcPr>
            <w:tcW w:w="63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38,444</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38,451</w:t>
            </w: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Technology licensing and other revenue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8"/>
                <w:szCs w:val="18"/>
                <w:color w:val="auto"/>
              </w:rPr>
            </w:pPr>
          </w:p>
        </w:tc>
      </w:tr>
      <w:tr>
        <w:trPr>
          <w:trHeight w:val="210"/>
        </w:trPr>
        <w:tc>
          <w:tcPr>
            <w:tcW w:w="63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70,818</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71,583</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platform fees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(1,219)</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(1,219)</w:t>
            </w: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Content cost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(1,044)</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(1,044)</w:t>
            </w:r>
          </w:p>
        </w:tc>
      </w:tr>
      <w:tr>
        <w:trPr>
          <w:trHeight w:val="216"/>
        </w:trPr>
        <w:tc>
          <w:tcPr>
            <w:tcW w:w="63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inventory sold</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(5,785)</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(5,785)</w:t>
            </w: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Marketing and distribution expenses</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(34,042)</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(34,140)</w:t>
            </w:r>
          </w:p>
        </w:tc>
      </w:tr>
      <w:tr>
        <w:trPr>
          <w:trHeight w:val="216"/>
        </w:trPr>
        <w:tc>
          <w:tcPr>
            <w:tcW w:w="63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 loss expense</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0"/>
        </w:trPr>
        <w:tc>
          <w:tcPr>
            <w:tcW w:w="62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direct expenses</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(42,137)</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(42,231)</w:t>
            </w:r>
          </w:p>
        </w:tc>
      </w:tr>
      <w:tr>
        <w:trPr>
          <w:trHeight w:val="250"/>
        </w:trPr>
        <w:tc>
          <w:tcPr>
            <w:tcW w:w="63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Contribution by business area</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28,681</w:t>
            </w:r>
          </w:p>
        </w:tc>
        <w:tc>
          <w:tcPr>
            <w:tcW w:w="240" w:type="dxa"/>
            <w:vAlign w:val="bottom"/>
            <w:tcBorders>
              <w:left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54"/>
        </w:trPr>
        <w:tc>
          <w:tcPr>
            <w:tcW w:w="6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880" w:type="dxa"/>
            <w:vAlign w:val="bottom"/>
          </w:tcPr>
          <w:p>
            <w:pPr>
              <w:spacing w:after="0"/>
              <w:rPr>
                <w:sz w:val="20"/>
                <w:szCs w:val="20"/>
                <w:color w:val="auto"/>
              </w:rPr>
            </w:pPr>
            <w:r>
              <w:rPr>
                <w:rFonts w:ascii="Arial" w:cs="Arial" w:eastAsia="Arial" w:hAnsi="Arial"/>
                <w:sz w:val="18"/>
                <w:szCs w:val="18"/>
                <w:color w:val="auto"/>
                <w:w w:val="99"/>
              </w:rPr>
              <w:t>The table below specifies the amounts of personnel expenses including share-based remuneration:</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7880" w:type="dxa"/>
            <w:vAlign w:val="bottom"/>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24"/>
                <w:szCs w:val="24"/>
                <w:color w:val="auto"/>
              </w:rPr>
            </w:pPr>
          </w:p>
        </w:tc>
        <w:tc>
          <w:tcPr>
            <w:tcW w:w="3240" w:type="dxa"/>
            <w:vAlign w:val="bottom"/>
            <w:gridSpan w:val="4"/>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234"/>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excluding share-based remuneration</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16,041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14,546</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Share-based remuneration, including related social security costs</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8"/>
                <w:szCs w:val="18"/>
                <w:color w:val="auto"/>
              </w:rPr>
            </w:pPr>
          </w:p>
        </w:tc>
      </w:tr>
      <w:tr>
        <w:trPr>
          <w:trHeight w:val="249"/>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personnel expenses including share-based remuneration</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17,096</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16,428</w:t>
            </w:r>
          </w:p>
        </w:tc>
      </w:tr>
      <w:tr>
        <w:trPr>
          <w:trHeight w:val="554"/>
        </w:trPr>
        <w:tc>
          <w:tcPr>
            <w:tcW w:w="78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Other operating expenses</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The table below specifies the nature of other expenses:</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00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3240" w:type="dxa"/>
            <w:vAlign w:val="bottom"/>
            <w:gridSpan w:val="4"/>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operating expenses</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Hosting</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Audit, legal and other advisory services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1,496</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3,002</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license fees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Rent and other office expense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other operating expenses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7,456</w:t>
            </w:r>
          </w:p>
        </w:tc>
      </w:tr>
      <w:tr>
        <w:trPr>
          <w:trHeight w:val="554"/>
        </w:trPr>
        <w:tc>
          <w:tcPr>
            <w:tcW w:w="78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4"/>
          </w:tcPr>
          <w:p>
            <w:pPr>
              <w:spacing w:after="0"/>
              <w:rPr>
                <w:sz w:val="20"/>
                <w:szCs w:val="20"/>
                <w:color w:val="auto"/>
              </w:rPr>
            </w:pPr>
            <w:r>
              <w:rPr>
                <w:rFonts w:ascii="Arial" w:cs="Arial" w:eastAsia="Arial" w:hAnsi="Arial"/>
                <w:sz w:val="18"/>
                <w:szCs w:val="18"/>
                <w:b w:val="1"/>
                <w:bCs w:val="1"/>
                <w:color w:val="auto"/>
              </w:rPr>
              <w:t>Non-IFRS financial measures</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760" w:type="dxa"/>
            <w:vAlign w:val="bottom"/>
            <w:gridSpan w:val="3"/>
            <w:vMerge w:val="restart"/>
          </w:tcPr>
          <w:p>
            <w:pPr>
              <w:spacing w:after="0"/>
              <w:rPr>
                <w:sz w:val="20"/>
                <w:szCs w:val="20"/>
                <w:color w:val="auto"/>
              </w:rPr>
            </w:pPr>
            <w:r>
              <w:rPr>
                <w:rFonts w:ascii="Arial" w:cs="Arial" w:eastAsia="Arial" w:hAnsi="Arial"/>
                <w:sz w:val="18"/>
                <w:szCs w:val="18"/>
                <w:color w:val="auto"/>
              </w:rPr>
              <w:t>[US$ thousands, except per share and ADS amounts]</w:t>
            </w:r>
          </w:p>
        </w:tc>
        <w:tc>
          <w:tcPr>
            <w:tcW w:w="100" w:type="dxa"/>
            <w:vAlign w:val="bottom"/>
            <w:vMerge w:val="restart"/>
          </w:tcPr>
          <w:p>
            <w:pPr>
              <w:spacing w:after="0"/>
              <w:rPr>
                <w:sz w:val="24"/>
                <w:szCs w:val="24"/>
                <w:color w:val="auto"/>
              </w:rPr>
            </w:pPr>
          </w:p>
        </w:tc>
        <w:tc>
          <w:tcPr>
            <w:tcW w:w="338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auto"/>
            </w:tcBorders>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86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Reconciliation of net income (loss) to adjusted EBITDA:</w:t>
            </w: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3540" w:type="dxa"/>
            <w:vAlign w:val="bottom"/>
            <w:tcBorders>
              <w:top w:val="single" w:sz="8" w:color="CCEEFF"/>
            </w:tcBorders>
            <w:gridSpan w:val="3"/>
          </w:tcPr>
          <w:p>
            <w:pPr>
              <w:spacing w:after="0"/>
              <w:rPr>
                <w:sz w:val="18"/>
                <w:szCs w:val="18"/>
                <w:color w:val="auto"/>
              </w:rPr>
            </w:pPr>
          </w:p>
        </w:tc>
        <w:tc>
          <w:tcPr>
            <w:tcW w:w="17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639</w:t>
            </w:r>
          </w:p>
        </w:tc>
        <w:tc>
          <w:tcPr>
            <w:tcW w:w="16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(9,436)</w:t>
            </w:r>
          </w:p>
        </w:tc>
        <w:tc>
          <w:tcPr>
            <w:tcW w:w="0" w:type="dxa"/>
            <w:vAlign w:val="bottom"/>
          </w:tcPr>
          <w:p>
            <w:pPr>
              <w:spacing w:after="0"/>
              <w:rPr>
                <w:sz w:val="1"/>
                <w:szCs w:val="1"/>
                <w:color w:val="auto"/>
              </w:rPr>
            </w:pPr>
          </w:p>
        </w:tc>
      </w:tr>
      <w:tr>
        <w:trPr>
          <w:trHeight w:val="216"/>
        </w:trPr>
        <w:tc>
          <w:tcPr>
            <w:tcW w:w="78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 Income tax expense (benefit)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7860" w:type="dxa"/>
            <w:vAlign w:val="bottom"/>
            <w:gridSpan w:val="4"/>
          </w:tcPr>
          <w:p>
            <w:pPr>
              <w:ind w:left="180"/>
              <w:spacing w:after="0"/>
              <w:rPr>
                <w:sz w:val="20"/>
                <w:szCs w:val="20"/>
                <w:color w:val="auto"/>
              </w:rPr>
            </w:pPr>
            <w:r>
              <w:rPr>
                <w:rFonts w:ascii="Arial" w:cs="Arial" w:eastAsia="Arial" w:hAnsi="Arial"/>
                <w:sz w:val="18"/>
                <w:szCs w:val="18"/>
                <w:color w:val="auto"/>
              </w:rPr>
              <w:t>Add: Net finance expense (income)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(1,413)</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10,164</w:t>
            </w:r>
          </w:p>
        </w:tc>
        <w:tc>
          <w:tcPr>
            <w:tcW w:w="0" w:type="dxa"/>
            <w:vAlign w:val="bottom"/>
          </w:tcPr>
          <w:p>
            <w:pPr>
              <w:spacing w:after="0"/>
              <w:rPr>
                <w:sz w:val="1"/>
                <w:szCs w:val="1"/>
                <w:color w:val="auto"/>
              </w:rPr>
            </w:pPr>
          </w:p>
        </w:tc>
      </w:tr>
      <w:tr>
        <w:trPr>
          <w:trHeight w:val="216"/>
        </w:trPr>
        <w:tc>
          <w:tcPr>
            <w:tcW w:w="78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 Share of net loss of equity-accounted investees</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60" w:type="dxa"/>
            <w:vAlign w:val="bottom"/>
            <w:gridSpan w:val="4"/>
          </w:tcPr>
          <w:p>
            <w:pPr>
              <w:ind w:left="180"/>
              <w:spacing w:after="0"/>
              <w:rPr>
                <w:sz w:val="20"/>
                <w:szCs w:val="20"/>
                <w:color w:val="auto"/>
              </w:rPr>
            </w:pPr>
            <w:r>
              <w:rPr>
                <w:rFonts w:ascii="Arial" w:cs="Arial" w:eastAsia="Arial" w:hAnsi="Arial"/>
                <w:sz w:val="18"/>
                <w:szCs w:val="18"/>
                <w:color w:val="auto"/>
              </w:rPr>
              <w:t>Add: Depreciation and amortization</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5,037</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16"/>
        </w:trPr>
        <w:tc>
          <w:tcPr>
            <w:tcW w:w="78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 Share-based remuneration</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1,054</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7860" w:type="dxa"/>
            <w:vAlign w:val="bottom"/>
            <w:gridSpan w:val="4"/>
          </w:tcPr>
          <w:p>
            <w:pPr>
              <w:ind w:left="180"/>
              <w:spacing w:after="0"/>
              <w:rPr>
                <w:sz w:val="20"/>
                <w:szCs w:val="20"/>
                <w:color w:val="auto"/>
              </w:rPr>
            </w:pPr>
            <w:r>
              <w:rPr>
                <w:rFonts w:ascii="Arial" w:cs="Arial" w:eastAsia="Arial" w:hAnsi="Arial"/>
                <w:sz w:val="18"/>
                <w:szCs w:val="18"/>
                <w:color w:val="auto"/>
              </w:rPr>
              <w:t>Add: Non-recurring expenses</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Less: Other operating income</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9"/>
        </w:trPr>
        <w:tc>
          <w:tcPr>
            <w:tcW w:w="7860" w:type="dxa"/>
            <w:vAlign w:val="bottom"/>
            <w:tcBorders>
              <w:top w:val="single" w:sz="8" w:color="CCEEFF"/>
            </w:tcBorders>
            <w:gridSpan w:val="4"/>
          </w:tcPr>
          <w:p>
            <w:pPr>
              <w:ind w:left="340"/>
              <w:spacing w:after="0"/>
              <w:rPr>
                <w:sz w:val="20"/>
                <w:szCs w:val="20"/>
                <w:color w:val="auto"/>
              </w:rPr>
            </w:pPr>
            <w:r>
              <w:rPr>
                <w:rFonts w:ascii="Arial" w:cs="Arial" w:eastAsia="Arial" w:hAnsi="Arial"/>
                <w:sz w:val="18"/>
                <w:szCs w:val="18"/>
                <w:b w:val="1"/>
                <w:bCs w:val="1"/>
                <w:color w:val="auto"/>
              </w:rPr>
              <w:t>Adjusted EBITDA</w:t>
            </w:r>
          </w:p>
        </w:tc>
        <w:tc>
          <w:tcPr>
            <w:tcW w:w="17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4,576</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7,349</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8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Reconciliation of net income (loss) to adjusted net income:</w:t>
            </w: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(9,436)</w:t>
            </w:r>
          </w:p>
        </w:tc>
        <w:tc>
          <w:tcPr>
            <w:tcW w:w="0" w:type="dxa"/>
            <w:vAlign w:val="bottom"/>
          </w:tcPr>
          <w:p>
            <w:pPr>
              <w:spacing w:after="0"/>
              <w:rPr>
                <w:sz w:val="1"/>
                <w:szCs w:val="1"/>
                <w:color w:val="auto"/>
              </w:rPr>
            </w:pPr>
          </w:p>
        </w:tc>
      </w:tr>
      <w:tr>
        <w:trPr>
          <w:trHeight w:val="216"/>
        </w:trPr>
        <w:tc>
          <w:tcPr>
            <w:tcW w:w="7860" w:type="dxa"/>
            <w:vAlign w:val="bottom"/>
            <w:gridSpan w:val="4"/>
          </w:tcPr>
          <w:p>
            <w:pPr>
              <w:ind w:left="180"/>
              <w:spacing w:after="0"/>
              <w:rPr>
                <w:sz w:val="20"/>
                <w:szCs w:val="20"/>
                <w:color w:val="auto"/>
              </w:rPr>
            </w:pPr>
            <w:r>
              <w:rPr>
                <w:rFonts w:ascii="Arial" w:cs="Arial" w:eastAsia="Arial" w:hAnsi="Arial"/>
                <w:sz w:val="18"/>
                <w:szCs w:val="18"/>
                <w:color w:val="auto"/>
              </w:rPr>
              <w:t>Add: Share-based remuneration</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1,054</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78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 Amortization of acquired intangible assets</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1,571</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7860" w:type="dxa"/>
            <w:vAlign w:val="bottom"/>
            <w:gridSpan w:val="4"/>
          </w:tcPr>
          <w:p>
            <w:pPr>
              <w:ind w:left="180"/>
              <w:spacing w:after="0" w:line="216" w:lineRule="exact"/>
              <w:rPr>
                <w:sz w:val="20"/>
                <w:szCs w:val="20"/>
                <w:color w:val="auto"/>
              </w:rPr>
            </w:pPr>
            <w:r>
              <w:rPr>
                <w:rFonts w:ascii="Arial" w:cs="Arial" w:eastAsia="Arial" w:hAnsi="Arial"/>
                <w:sz w:val="16"/>
                <w:szCs w:val="16"/>
                <w:color w:val="auto"/>
              </w:rPr>
              <w:t xml:space="preserve">Add: Amortization of Nanobank intangible assets </w:t>
            </w:r>
            <w:r>
              <w:rPr>
                <w:rFonts w:ascii="Arial" w:cs="Arial" w:eastAsia="Arial" w:hAnsi="Arial"/>
                <w:sz w:val="25"/>
                <w:szCs w:val="25"/>
                <w:color w:val="auto"/>
                <w:vertAlign w:val="superscript"/>
              </w:rPr>
              <w:t>(1)</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1,759</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 Non-recurring expenses</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7860" w:type="dxa"/>
            <w:vAlign w:val="bottom"/>
            <w:gridSpan w:val="4"/>
          </w:tcPr>
          <w:p>
            <w:pPr>
              <w:ind w:left="180"/>
              <w:spacing w:after="0" w:line="216" w:lineRule="exact"/>
              <w:rPr>
                <w:sz w:val="20"/>
                <w:szCs w:val="20"/>
                <w:color w:val="auto"/>
              </w:rPr>
            </w:pPr>
            <w:r>
              <w:rPr>
                <w:rFonts w:ascii="Arial" w:cs="Arial" w:eastAsia="Arial" w:hAnsi="Arial"/>
                <w:sz w:val="16"/>
                <w:szCs w:val="16"/>
                <w:color w:val="auto"/>
              </w:rPr>
              <w:t xml:space="preserve">Income tax adjustment </w:t>
            </w:r>
            <w:r>
              <w:rPr>
                <w:rFonts w:ascii="Arial" w:cs="Arial" w:eastAsia="Arial" w:hAnsi="Arial"/>
                <w:sz w:val="25"/>
                <w:szCs w:val="25"/>
                <w:color w:val="auto"/>
                <w:vertAlign w:val="superscript"/>
              </w:rPr>
              <w:t>(2)</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Adjusted net income (loss)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2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3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Adjusted net income (loss) per ADS and per share: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4"/>
          </w:tcPr>
          <w:p>
            <w:pPr>
              <w:ind w:left="180"/>
              <w:spacing w:after="0"/>
              <w:rPr>
                <w:sz w:val="20"/>
                <w:szCs w:val="20"/>
                <w:color w:val="auto"/>
              </w:rPr>
            </w:pPr>
            <w:r>
              <w:rPr>
                <w:rFonts w:ascii="Arial" w:cs="Arial" w:eastAsia="Arial" w:hAnsi="Arial"/>
                <w:sz w:val="18"/>
                <w:szCs w:val="18"/>
                <w:color w:val="auto"/>
              </w:rPr>
              <w:t>Basic adjusted net income (loss) per ADS, US$</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78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Diluted adjusted net income (loss) per ADS, US$</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7860" w:type="dxa"/>
            <w:vAlign w:val="bottom"/>
            <w:gridSpan w:val="4"/>
          </w:tcPr>
          <w:p>
            <w:pPr>
              <w:ind w:left="180"/>
              <w:spacing w:after="0"/>
              <w:rPr>
                <w:sz w:val="20"/>
                <w:szCs w:val="20"/>
                <w:color w:val="auto"/>
              </w:rPr>
            </w:pPr>
            <w:r>
              <w:rPr>
                <w:rFonts w:ascii="Arial" w:cs="Arial" w:eastAsia="Arial" w:hAnsi="Arial"/>
                <w:sz w:val="18"/>
                <w:szCs w:val="18"/>
                <w:color w:val="auto"/>
              </w:rPr>
              <w:t>Basic adjusted net income (loss) per share, US$</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78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Diluted adjusted net income (loss) per share, US$</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amortization of Nanobank intangible assets was included in the line "Share of net loss of equity-accounted investees".</w:t>
      </w:r>
    </w:p>
    <w:p>
      <w:pPr>
        <w:spacing w:after="0" w:line="225" w:lineRule="exact"/>
        <w:rPr>
          <w:rFonts w:ascii="Arial" w:cs="Arial" w:eastAsia="Arial" w:hAnsi="Arial"/>
          <w:sz w:val="18"/>
          <w:szCs w:val="18"/>
          <w:color w:val="auto"/>
        </w:rPr>
      </w:pPr>
    </w:p>
    <w:p>
      <w:pPr>
        <w:ind w:right="34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Reversal of tax benefit related to the social security cost component of share-based remuneration and deferred taxes on the amortization of acquired intangible assets.</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2022-04-28T06:14:00Z</dcterms:created>
  <dcterms:modified xsi:type="dcterms:W3CDTF">2022-04-28T06:14:00Z</dcterms:modified>
</cp:coreProperties>
</file>