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167005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190500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left="260" w:right="259"/>
        <w:spacing w:after="0" w:line="263"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182880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207010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Vitaminveien 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0485 Oslo, Norway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424815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21"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3"/>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4"/>
                <w:szCs w:val="14"/>
                <w:color w:val="auto"/>
              </w:rPr>
            </w:pPr>
          </w:p>
        </w:tc>
        <w:tc>
          <w:tcPr>
            <w:tcW w:w="9340" w:type="dxa"/>
            <w:vAlign w:val="bottom"/>
            <w:tcBorders>
              <w:bottom w:val="single" w:sz="8" w:color="0000FF"/>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0000FF"/>
              </w:rPr>
              <w:t>Press release dated October 29, 2025, titled “Opera Reports Third Quarter 2025 Results Ahead of Expectations, Raises Full-Year</w:t>
            </w:r>
          </w:p>
        </w:tc>
        <w:tc>
          <w:tcPr>
            <w:tcW w:w="660" w:type="dxa"/>
            <w:vAlign w:val="bottom"/>
          </w:tcPr>
          <w:p>
            <w:pPr>
              <w:spacing w:after="0"/>
              <w:rPr>
                <w:sz w:val="14"/>
                <w:szCs w:val="1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Guidance Ranges for Both Revenue and Adjusted EBITDA”</w:t>
            </w:r>
          </w:p>
        </w:tc>
      </w:tr>
      <w:tr>
        <w:trPr>
          <w:trHeight w:val="878"/>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380" w:type="dxa"/>
            <w:vAlign w:val="bottom"/>
            <w:tcBorders>
              <w:top w:val="single" w:sz="8" w:color="0000FF"/>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660" w:type="dxa"/>
            <w:vAlign w:val="bottom"/>
          </w:tcPr>
          <w:p>
            <w:pPr>
              <w:spacing w:after="0"/>
              <w:rPr>
                <w:sz w:val="16"/>
                <w:szCs w:val="16"/>
                <w:color w:val="auto"/>
              </w:rPr>
            </w:pP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66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36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19685</wp:posOffset>
            </wp:positionV>
            <wp:extent cx="874395" cy="316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7439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Opera Reports Third Quarter 2025 Results Ahead of Expectations, Raises Full-Year Guidance Ranges for Both Revenue and Adjusted EBITDA</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grew 23% year-over-year to $151.9 million, and exceeded the guidance range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EBITDA of $36.3 million, a 24% margin, also exceeded the guidance range</w:t>
      </w:r>
    </w:p>
    <w:p>
      <w:pPr>
        <w:spacing w:after="0" w:line="225" w:lineRule="exact"/>
        <w:rPr>
          <w:sz w:val="20"/>
          <w:szCs w:val="20"/>
          <w:color w:val="auto"/>
        </w:rPr>
      </w:pPr>
    </w:p>
    <w:p>
      <w:pPr>
        <w:jc w:val="cente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Opera raises growth expectations well beyond the third quarter overperformance, increasing full-year revenue guidance to $600 – 603 million, 25% growth at the midpoint, and full-year adjusted EBITDA guidance to $138 - 141 million, 23% margin at the midpoints</w:t>
      </w:r>
    </w:p>
    <w:p>
      <w:pPr>
        <w:spacing w:after="0" w:line="372" w:lineRule="exact"/>
        <w:rPr>
          <w:sz w:val="20"/>
          <w:szCs w:val="20"/>
          <w:color w:val="auto"/>
        </w:rPr>
      </w:pPr>
    </w:p>
    <w:p>
      <w:pPr>
        <w:jc w:val="both"/>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OSLO, Norway, October 29, 2025 </w:t>
      </w:r>
      <w:r>
        <w:rPr>
          <w:rFonts w:ascii="Times New Roman" w:cs="Times New Roman" w:eastAsia="Times New Roman" w:hAnsi="Times New Roman"/>
          <w:sz w:val="18"/>
          <w:szCs w:val="18"/>
          <w:color w:val="auto"/>
        </w:rPr>
        <w:t>– Opera Limited (NASDAQ: OPRA), a leading global browser and AI agent company, today announced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for the quarter ended September 30, 2025.</w:t>
      </w:r>
    </w:p>
    <w:p>
      <w:pPr>
        <w:spacing w:after="0" w:line="13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“I’m proud of our team’s strong execution this quarter, which drove another period of solid growth with both revenue and adjusted EBITDA yet again exceeding our guidance ranges. Our continued focus on innovation positions us well for the future, and I could not be more pleased about our strategic opportunities in this rapidly evolving landscape,</w:t>
      </w:r>
      <w:r>
        <w:rPr>
          <w:rFonts w:ascii="Times New Roman" w:cs="Times New Roman" w:eastAsia="Times New Roman" w:hAnsi="Times New Roman"/>
          <w:sz w:val="18"/>
          <w:szCs w:val="18"/>
          <w:color w:val="1D1C1D"/>
        </w:rPr>
        <w:t>” said Lin Song, CEO.</w:t>
      </w:r>
    </w:p>
    <w:p>
      <w:pPr>
        <w:spacing w:after="0" w:line="135"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7"/>
          <w:szCs w:val="17"/>
          <w:color w:val="auto"/>
        </w:rPr>
        <w:t>“Opera Neon was released in September and represents our vision for the next generation of web browsers,” continued Mr. Song. “We believe in an increasingly broad landscape of AI services that assist users across a multitude of areas that all come together in the browser. The browser has to work across all platforms, and its approach to assisting the user has to be powered by the right tool for each job. Opera differs from others in that our specialization is the browser itself, and we use that skill set to create the best possible AI experiences where agents operate directly in your authenticated browser session. In parallel to the premium, subscription-based Neon browser, we are launching new versions of our flagship and GX gaming browsers with upgraded free browser AI, further extending our leadership in delivering practical AI directly within the browsing experience. Our objective is to facilitate an increasingly advanced experience across our browser products in line with our broader views on how these services will best serve people.”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and Nine Months 2025 Financial Highlights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 and per share amounts</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20" w:type="dxa"/>
            <w:vAlign w:val="bottom"/>
            <w:vMerge w:val="restart"/>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4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26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123,210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151,937</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334,815</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437,616</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18,618</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52,082</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52,576</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Net income margin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15%</w:t>
            </w:r>
          </w:p>
        </w:tc>
        <w:tc>
          <w:tcPr>
            <w:tcW w:w="3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12%</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12%</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net income </w:t>
            </w:r>
            <w:r>
              <w:rPr>
                <w:rFonts w:ascii="Times New Roman" w:cs="Times New Roman" w:eastAsia="Times New Roman" w:hAnsi="Times New Roman"/>
                <w:sz w:val="21"/>
                <w:szCs w:val="21"/>
                <w:color w:val="auto"/>
                <w:vertAlign w:val="superscript"/>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22,884</w:t>
            </w:r>
          </w:p>
        </w:tc>
        <w:tc>
          <w:tcPr>
            <w:tcW w:w="28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26,834</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61,335</w:t>
            </w:r>
          </w:p>
        </w:tc>
        <w:tc>
          <w:tcPr>
            <w:tcW w:w="20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74,712</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Adjusted net income margin</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19%</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18%</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18%</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17%</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30,797</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36,288</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82,316</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100,640</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25%</w:t>
            </w:r>
          </w:p>
        </w:tc>
        <w:tc>
          <w:tcPr>
            <w:tcW w:w="3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24%</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23%</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8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2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0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0.58</w:t>
            </w:r>
          </w:p>
        </w:tc>
        <w:tc>
          <w:tcPr>
            <w:tcW w:w="26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6"/>
                <w:szCs w:val="16"/>
                <w:color w:val="auto"/>
              </w:rPr>
              <w:t xml:space="preserve">Adjusted diluted earnings per share </w:t>
            </w:r>
            <w:r>
              <w:rPr>
                <w:rFonts w:ascii="Times New Roman" w:cs="Times New Roman" w:eastAsia="Times New Roman" w:hAnsi="Times New Roman"/>
                <w:sz w:val="21"/>
                <w:szCs w:val="21"/>
                <w:color w:val="auto"/>
                <w:vertAlign w:val="superscript"/>
              </w:rPr>
              <w:t>(1)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flow from operating activities</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34,896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28,454</w:t>
            </w:r>
          </w:p>
        </w:tc>
        <w:tc>
          <w:tcPr>
            <w:tcW w:w="2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(18)%</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83,334</w:t>
            </w:r>
          </w:p>
        </w:tc>
        <w:tc>
          <w:tcPr>
            <w:tcW w:w="20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77,518</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113%</w:t>
            </w:r>
          </w:p>
        </w:tc>
        <w:tc>
          <w:tcPr>
            <w:tcW w:w="3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78%</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101%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77%</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Free cash flow from operations </w:t>
            </w:r>
            <w:r>
              <w:rPr>
                <w:rFonts w:ascii="Times New Roman" w:cs="Times New Roman" w:eastAsia="Times New Roman" w:hAnsi="Times New Roman"/>
                <w:sz w:val="21"/>
                <w:szCs w:val="21"/>
                <w:color w:val="auto"/>
                <w:vertAlign w:val="superscript"/>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29,739</w:t>
            </w:r>
          </w:p>
        </w:tc>
        <w:tc>
          <w:tcPr>
            <w:tcW w:w="28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21,257</w:t>
            </w:r>
          </w:p>
        </w:tc>
        <w:tc>
          <w:tcPr>
            <w:tcW w:w="2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51,555</w:t>
            </w:r>
          </w:p>
        </w:tc>
        <w:tc>
          <w:tcPr>
            <w:tcW w:w="20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62,357</w:t>
            </w:r>
          </w:p>
        </w:tc>
        <w:tc>
          <w:tcPr>
            <w:tcW w:w="26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03"/>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i w:val="1"/>
                <w:iCs w:val="1"/>
                <w:color w:val="auto"/>
              </w:rPr>
              <w:t>As percentage of adjusted EBITDA</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97%</w:t>
            </w: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59%</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63%</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62%</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380" w:right="280" w:hanging="372"/>
        <w:spacing w:after="0" w:line="280"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the sections below titled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Reconciliations of Non-IFRS Financial Measures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for explanations and reconciliations of non-IFRS financial measures.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2025 and Recent Business Highlights</w:t>
      </w:r>
    </w:p>
    <w:p>
      <w:pPr>
        <w:spacing w:after="0" w:line="121" w:lineRule="exact"/>
        <w:rPr>
          <w:sz w:val="20"/>
          <w:szCs w:val="20"/>
          <w:color w:val="auto"/>
        </w:rPr>
      </w:pPr>
    </w:p>
    <w:p>
      <w:pPr>
        <w:ind w:left="760" w:hanging="378"/>
        <w:spacing w:after="0" w:line="25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revenue grew 17% year-over-year to $55.6 million, accounting for 37% of total revenue. This new revenue category consists of the former search revenue category, which was $52.4 million and saw further growth acceleration to 13% year-over-year, as well as other query-based revenue of $3.2 million which nearly tripled year-over-year and would have been classified as advertising revenue under our prior presentation. We see increasing opportunities to monetize user prompts as we scale our business, for example in dialogues with our AI assistant Aria or dynamic partner referrals based on user input. In sum, this aggregates our revenue generated by driving traffic to partners in response to users’ proactive intent for online discovery. Prior periods have been reclassified for comparability.</w:t>
      </w:r>
    </w:p>
    <w:p>
      <w:pPr>
        <w:spacing w:after="0" w:line="79"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grew 27% year-over-year to $95.9 million, representing 63% of total revenue. Under the prior revenue presentation, advertising revenue would have grown at 29% year-over-year to $99.1 million. Advertising revenue was driven by continued strong momentum from e-commerce partners, which remained the fastest-growing vertical.</w:t>
      </w:r>
    </w:p>
    <w:p>
      <w:pPr>
        <w:spacing w:after="0" w:line="6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had 284 million average monthly active users (“MAUs”) in the quarter, with annualized average revenue per user (“ARPU”) of $2.13, an increase of 28% versus the third quarter of 2024.</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GX gaming browser had 33 million average MAUs in the quarter across PC and mobile, up 3% year-over-year.</w:t>
      </w:r>
    </w:p>
    <w:p>
      <w:pPr>
        <w:spacing w:after="0" w:line="117"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 Neon agentic AI browser was launched as a premium subscription-based product designed for power users, featuring advanced AI-driven task workspaces, automation capabilities via Neon Do, card-based prompts for personalized experiences, and full integration of productivity tools.</w:t>
      </w:r>
    </w:p>
    <w:p>
      <w:pPr>
        <w:spacing w:after="0" w:line="6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versions of Opera’s flagship and GX browsers launching with upgraded free browser AI, bringing faster models, better browser integration, higher usage limits, and support for open-source local models.</w:t>
      </w:r>
    </w:p>
    <w:p>
      <w:pPr>
        <w:spacing w:after="0" w:line="53" w:lineRule="exact"/>
        <w:rPr>
          <w:rFonts w:ascii="Times New Roman" w:cs="Times New Roman" w:eastAsia="Times New Roman" w:hAnsi="Times New Roman"/>
          <w:sz w:val="18"/>
          <w:szCs w:val="18"/>
          <w:color w:val="auto"/>
        </w:rPr>
      </w:pPr>
    </w:p>
    <w:p>
      <w:pPr>
        <w:jc w:val="both"/>
        <w:ind w:left="760" w:right="20" w:hanging="378"/>
        <w:spacing w:after="0" w:line="312" w:lineRule="auto"/>
        <w:tabs>
          <w:tab w:leader="none" w:pos="7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MiniPay wallets increased by 175% year-over-year during the quarter, surpassing 10 million activations since its launch two years ago. Over that period, MiniPay users have initiated approximately 290 million peer-to-peer transactions worth over $300 million across more than 60 countries.</w:t>
      </w:r>
    </w:p>
    <w:p>
      <w:pPr>
        <w:spacing w:after="0" w:line="31" w:lineRule="exact"/>
        <w:rPr>
          <w:rFonts w:ascii="Times New Roman" w:cs="Times New Roman" w:eastAsia="Times New Roman" w:hAnsi="Times New Roman"/>
          <w:sz w:val="17"/>
          <w:szCs w:val="17"/>
          <w:color w:val="auto"/>
        </w:rPr>
      </w:pPr>
    </w:p>
    <w:p>
      <w:pPr>
        <w:ind w:left="760" w:right="32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was $28.5 million, representing 78% of adjusted EBITDA. At quarter-end, cash and cash equivalents totaled $119.0 million.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of $0.40 per share under our recurring semi-annual dividend program, totaling $35.8 million, was paid in July.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Third Quarter 2025 Financial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comparisons in this section are relative to the third quarter of 2024 unless otherwise stated.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23% to $151.9 million.</w:t>
      </w:r>
    </w:p>
    <w:p>
      <w:pPr>
        <w:spacing w:after="0" w:line="121"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27% to $95.9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Query revenue increased 17% to $55.6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licensing and other revenue was $0.4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increased 29% to $129.7 million.</w:t>
      </w:r>
    </w:p>
    <w:p>
      <w:pPr>
        <w:spacing w:after="0" w:line="121" w:lineRule="exact"/>
        <w:rPr>
          <w:sz w:val="20"/>
          <w:szCs w:val="20"/>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technology and platform fees, content cost and cost of inventory sold, all being costs of revenue, was $52.6 million, or 35% of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excluding share-based compensation increased 9% to $20.9 million.</w:t>
      </w:r>
    </w:p>
    <w:p>
      <w:pPr>
        <w:spacing w:after="0" w:line="117" w:lineRule="exact"/>
        <w:rPr>
          <w:rFonts w:ascii="Times New Roman" w:cs="Times New Roman" w:eastAsia="Times New Roman" w:hAnsi="Times New Roman"/>
          <w:sz w:val="18"/>
          <w:szCs w:val="18"/>
          <w:color w:val="auto"/>
        </w:rPr>
      </w:pPr>
    </w:p>
    <w:p>
      <w:pPr>
        <w:jc w:val="both"/>
        <w:ind w:left="760" w:right="2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expenses amounted to $9.1 million, a 120% increase versus $4.1 million in the third quarter of 2024. The increase follows the granting of approximately 1.9 million share-equivalent RSUs in early 2025 and front-loaded cost recognition of multi-year grants.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expenses increased 10% to $35.9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increased 17% to $4.9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operating expenses decreased 17% to $6.4 million, mostly due to lower cost of professional services.</w:t>
      </w:r>
    </w:p>
    <w:p>
      <w:pPr>
        <w:spacing w:after="0" w:line="1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was $22.4 million, representing a 15% margin, compared to an operating profit of $23.2 million and a margin of 19% in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finance income </w:t>
      </w:r>
      <w:r>
        <w:rPr>
          <w:rFonts w:ascii="Times New Roman" w:cs="Times New Roman" w:eastAsia="Times New Roman" w:hAnsi="Times New Roman"/>
          <w:sz w:val="18"/>
          <w:szCs w:val="18"/>
          <w:color w:val="auto"/>
        </w:rPr>
        <w:t>was $0.2 million, a result of $0.7 million in net interest income, partially offset by foreign exchange loss of $0.5 million.</w:t>
      </w:r>
    </w:p>
    <w:p>
      <w:pPr>
        <w:spacing w:after="0" w:line="1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5" w:name="page6"/>
    <w:bookmarkEnd w:id="5"/>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was $4.0 million, corresponding to an effective tax rate of 18%, and representing 11% of adjusted EBITDA. This compares to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expense of $4.8 million in the third quarter of 2024, representing 16% of adjusted EBITDA.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$18.6 million, representing a 12% margin, compared to net income of $17.9 million and a margin of 15% in the third quarter of 2024.</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$26.8 million, representing a 18% margin and an increase of 17% relative to $22.9 million and a 19% margin in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2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was $36.3 million, representing a 24% margin and an increase of 18% relative to $30.8 million and a 25% margin in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earnings per share </w:t>
      </w:r>
      <w:r>
        <w:rPr>
          <w:rFonts w:ascii="Times New Roman" w:cs="Times New Roman" w:eastAsia="Times New Roman" w:hAnsi="Times New Roman"/>
          <w:sz w:val="18"/>
          <w:szCs w:val="18"/>
          <w:color w:val="auto"/>
        </w:rPr>
        <w:t>was $0.21, whereas</w:t>
      </w:r>
      <w:r>
        <w:rPr>
          <w:rFonts w:ascii="Times New Roman" w:cs="Times New Roman" w:eastAsia="Times New Roman" w:hAnsi="Times New Roman"/>
          <w:sz w:val="18"/>
          <w:szCs w:val="18"/>
          <w:b w:val="1"/>
          <w:bCs w:val="1"/>
          <w:color w:val="auto"/>
        </w:rPr>
        <w:t xml:space="preserve"> adjusted diluted earnings per share </w:t>
      </w:r>
      <w:r>
        <w:rPr>
          <w:rFonts w:ascii="Times New Roman" w:cs="Times New Roman" w:eastAsia="Times New Roman" w:hAnsi="Times New Roman"/>
          <w:sz w:val="18"/>
          <w:szCs w:val="18"/>
          <w:color w:val="auto"/>
        </w:rPr>
        <w:t>was $0.30.</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flow from operating activities </w:t>
      </w:r>
      <w:r>
        <w:rPr>
          <w:rFonts w:ascii="Times New Roman" w:cs="Times New Roman" w:eastAsia="Times New Roman" w:hAnsi="Times New Roman"/>
          <w:sz w:val="18"/>
          <w:szCs w:val="18"/>
          <w:color w:val="auto"/>
        </w:rPr>
        <w:t>was $28.5 million, or 78% of adjusted EBITDA.</w:t>
      </w:r>
      <w:r>
        <w:rPr>
          <w:rFonts w:ascii="Times New Roman" w:cs="Times New Roman" w:eastAsia="Times New Roman" w:hAnsi="Times New Roman"/>
          <w:sz w:val="18"/>
          <w:szCs w:val="18"/>
          <w:b w:val="1"/>
          <w:bCs w:val="1"/>
          <w:color w:val="auto"/>
        </w:rPr>
        <w:t xml:space="preserve"> Free cash flow from operations </w:t>
      </w:r>
      <w:r>
        <w:rPr>
          <w:rFonts w:ascii="Times New Roman" w:cs="Times New Roman" w:eastAsia="Times New Roman" w:hAnsi="Times New Roman"/>
          <w:sz w:val="18"/>
          <w:szCs w:val="18"/>
          <w:color w:val="auto"/>
        </w:rPr>
        <w:t>was $21.3 million, or 59%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EBITDA.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2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Fourth Quarter 2025 Guidance</w:t>
            </w:r>
          </w:p>
        </w:tc>
        <w:tc>
          <w:tcPr>
            <w:tcW w:w="320" w:type="dxa"/>
            <w:vAlign w:val="bottom"/>
          </w:tcPr>
          <w:p>
            <w:pPr>
              <w:spacing w:after="0"/>
              <w:rPr>
                <w:sz w:val="18"/>
                <w:szCs w:val="18"/>
                <w:color w:val="auto"/>
              </w:rPr>
            </w:pPr>
          </w:p>
        </w:tc>
        <w:tc>
          <w:tcPr>
            <w:tcW w:w="2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Full-Year 2025 Guidance</w:t>
            </w:r>
          </w:p>
        </w:tc>
        <w:tc>
          <w:tcPr>
            <w:tcW w:w="280" w:type="dxa"/>
            <w:vAlign w:val="bottom"/>
          </w:tcPr>
          <w:p>
            <w:pPr>
              <w:spacing w:after="0"/>
              <w:rPr>
                <w:sz w:val="18"/>
                <w:szCs w:val="18"/>
                <w:color w:val="auto"/>
              </w:rPr>
            </w:pPr>
          </w:p>
        </w:tc>
      </w:tr>
      <w:tr>
        <w:trPr>
          <w:trHeight w:val="162"/>
        </w:trPr>
        <w:tc>
          <w:tcPr>
            <w:tcW w:w="50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Revenue</w:t>
            </w:r>
          </w:p>
        </w:tc>
        <w:tc>
          <w:tcPr>
            <w:tcW w:w="314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8"/>
                <w:szCs w:val="18"/>
                <w:color w:val="auto"/>
              </w:rPr>
              <w:t>$162 – 165 million</w:t>
            </w:r>
          </w:p>
        </w:tc>
        <w:tc>
          <w:tcPr>
            <w:tcW w:w="308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8"/>
                <w:szCs w:val="18"/>
                <w:color w:val="auto"/>
              </w:rPr>
              <w:t>$600 – 603 million</w:t>
            </w:r>
          </w:p>
        </w:tc>
      </w:tr>
      <w:tr>
        <w:trPr>
          <w:trHeight w:val="218"/>
        </w:trPr>
        <w:tc>
          <w:tcPr>
            <w:tcW w:w="5020" w:type="dxa"/>
            <w:vAlign w:val="bottom"/>
          </w:tcPr>
          <w:p>
            <w:pPr>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Year-over-year revenue growth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12%</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25%</w:t>
            </w:r>
          </w:p>
        </w:tc>
      </w:tr>
      <w:tr>
        <w:trPr>
          <w:trHeight w:val="214"/>
        </w:trPr>
        <w:tc>
          <w:tcPr>
            <w:tcW w:w="5020" w:type="dxa"/>
            <w:vAlign w:val="bottom"/>
          </w:tcPr>
          <w:p>
            <w:pPr>
              <w:spacing w:after="0" w:line="214"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3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$37.5 – 40.5 million</w:t>
            </w:r>
          </w:p>
        </w:tc>
        <w:tc>
          <w:tcPr>
            <w:tcW w:w="3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 – 141 million</w:t>
            </w:r>
          </w:p>
        </w:tc>
      </w:tr>
      <w:tr>
        <w:trPr>
          <w:trHeight w:val="252"/>
        </w:trPr>
        <w:tc>
          <w:tcPr>
            <w:tcW w:w="5020" w:type="dxa"/>
            <w:vAlign w:val="bottom"/>
          </w:tcPr>
          <w:p>
            <w:pPr>
              <w:spacing w:after="0" w:line="251"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i w:val="1"/>
                <w:iCs w:val="1"/>
                <w:color w:val="auto"/>
                <w:vertAlign w:val="superscript"/>
              </w:rPr>
              <w:t>(1)</w:t>
            </w:r>
          </w:p>
        </w:tc>
        <w:tc>
          <w:tcPr>
            <w:tcW w:w="3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24%</w:t>
            </w:r>
          </w:p>
        </w:tc>
        <w:tc>
          <w:tcPr>
            <w:tcW w:w="3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23%</w:t>
            </w: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for revenue growth and adjusted EBITDA margin have been calculated based on the midpoints of the revenue and adjusted EBITDA guidance.</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below titled “Non-IFRS Financial Measures” for explanations of non-IFRS financial measures.</w:t>
      </w:r>
    </w:p>
    <w:p>
      <w:pPr>
        <w:spacing w:after="0" w:line="18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momentum in our business has continued to outperform even recent expectations, and we are pleased to exceed our guidance ranges on both revenue and adjusted EBITDA. While we are executing on great strategic opportunities in a rapidly evolving ecosystem, we are simultaneously generating healthy organic growth in both revenue and profit,” said Frode Jacobsen, CFO.</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trajectory allows us to raise the outlook for the year well beyond our third quarter overperformance. While the fourth quarter in isolation compares to the extraordinary revenue acceleration in late 2024, our guidance represents increased sequential growth and supports our continued annual growth expansion from 20% in 2023, 21% in 2024 and now 25% at the midpoint of 2025 guidance,” continued Mr. Jacobsen.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Information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Opera’s management will host a conference call to discuss the third quarter 2025 financial results at 8:00 a.m. ET today. The live webcast of the conference call can be accessed at our investor relations website at investor.opera.com, along with the earnings press release and financial tables. Following the call, a replay will be available at the same website.</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also provide announcements on our investor relations website at investor.opera.com regarding our financial performance and other matters, including SEC filings, press releases, slide presentations, business blog posts and information on corporate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Non-IFRS Financial Measures</w:t>
      </w:r>
    </w:p>
    <w:p>
      <w:pPr>
        <w:spacing w:after="0" w:line="18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to revenue, net income, net cash flow from operating activities and other financial measures presented in accordance with IFRS Accounting Standards, we use adjusted net income, adjusted EBITDA, adjusted diluted earnings per share and free cash flow from operations to manage our business, make planning decisions, evaluate our performance, and allocate resources. We believe adjusted net income, adjusted EBITDA and adjusted diluted earnings per share provide meaningful supplemental information regarding our financial performance by excluding certain items that may not be indicative of recurring core business operating results. We believe free cash flow from operations provides useful information regarding our ability to generate cash from business operations that is available for acquisitions and other investments, and for distributions to our shareholders, even though free cash flow from operations does not represent the residual cash flow available for discretionary expenditures.</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excluding (i) profit (loss) from discontinued operations, (ii) gain (loss) on investments in unconsolidated entities, (iii) non-recurring expenses, (iv) impairment of non-financial assets, (v) amortization of acquired intangible assets, (vi) share-based compensation expenses, and (vii) the income tax effect of these adjustments. Adjusted net income margin is calculated as adjusted net income divided by revenue, whereas adjusted diluted earnings per share is calculated as adjusted net income divided by the diluted weighted average number of shares outstanding.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ind w:right="28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excluding (i) profit (loss) from discontinued operations, (ii) income tax expense, (iii) net finance income (expense), (iv) gain (loss) on long-term investments in unconsolidated entities, (v) non-recurring expenses, (vi) impairment of non-financial assets, (vii) depreciation and amortization, (viii) share-based compensation expenses, and (ix) other operating income. Adjusted EBITDA margin is calculated as adjusted EBITDA divided by revenue.</w:t>
      </w:r>
    </w:p>
    <w:p>
      <w:pPr>
        <w:spacing w:after="0" w:line="13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define free cash flow from operations as net cash flows from (used in) operating activities less (i) purchases of fixed and intangible assets, (ii) development expenditure and (iii) payment of lease liabilities.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believe the non-IFRS financial measures defined above are useful to investors both because they allow for greater transparency with respect to key metrics used by management in its financial and operational decision-making and because they are used by our institutional investors and the analyst community to help them analyze the health of our business. However, these non-IFRS financial measures should not be considered substitutes for, or superior to, the financial information presented in accordance with IFRS Accounting Standards. Our calculations of adjusted net income, adjusted EBITDA, adjusted diluted earnings per share and free cash flow from operations may differ from similarly-titled non-IFRS measures, if any, reported by our peers. In addition, the non-IFRS financial measures may be limited in their usefulness because they do not present the full economic effects of certain items of income, expenses and cash flows. We compensate for these limitations by providing reconciliations of our non-IFRS financial measures to the most closely related financial measures in IFRS Accounting Standards in the section titled “Reconciliations of Non-IFRS Financial Measures” included at the end of this earnings press release. We encourage investors and others to review our financial information in its entirety, not to rely on any single financial measure and to view our reported non-IFRS financial measures in conjunction with net income and net cash flow from operating activities.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“may,” “expect,” “believe,” “anticipate,” “intend,” “aim,” “estimate,” “seek,” “plan,” “potential,” “continue,” “ongoing,” “target,” “guidance,” “is/are likely to,” “future” and similar statements. Among other things, management’s quotations and the Business Outlook section contain forward-looking statements. The Company may also make forward-looking statements in its periodic reports to the U.S. Securities and Exchange Commission (the “SEC”), in press releases and other written materials and in oral statements made by its officers, directors or employees to third parties. These forward-looking statements involve known and unknown risks and uncertainties and are based on current expectations, assumptions, estimates and projections about the Company and the industry in which it operates. Potential risks and uncertainties include, but are not limited to, those relating to: implementations of tariffs and other trade-limiting policies, the duration and development of international wars and conflicts, such as in Ukraine and the Middle East, and related economic sanctions, as well as resulting changes in consumer behaviors; the outcome of regulatory processes or litigation involving the Company or its business partners; the Company and its goals and strategies; expected development and launch, and market acceptance, of products and services; Company’s expectations regarding demand for and market acceptance of its brands, platforms and services including, for example, agentic browsing; Company’s expectations regarding changes in its user base, user retention and level of engagement; changes in consumer behavior, for example from increased adoption of AI powered services; Company’s ability to attract, retain and monetize users; Company’s ability to continue to develop new technologies, products and services and/or upgrade its existing technologies, products and services; quarterly variations in Company’s operating results caused by factors beyond its control; and global macroeconomic conditions and their potential impact in the markets in which the Company has business. All information provided in this press release is as of the date hereof and is based on assumptions that the Company believes to be reasonable as of this date, and it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SEC, including its annual reports on Form 20-F.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Opera</w:t>
      </w:r>
    </w:p>
    <w:p>
      <w:pPr>
        <w:spacing w:after="0" w:line="20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Opera is a user-centric and innovative software company focused on enabling the best possible internet browsing experience across devices. Hundreds of millions worldwide use Opera’s mobile and desktop browsers for their speed, security, and unique features, enhanced with integrated AI that enables users to navigate and interact with the web in new transformative ways. Founded in 1995 and headquartered in Oslo, Norway, Opera is listed on the Nasdaq stock exchange under the ticker symbol “OPRA”. Download Opera products from opera.com and learn more about Opera at investor.opera.com.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color w:val="auto"/>
        </w:rPr>
        <w:t>Matthew Wolfson, investor-relations@opera.com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w:t>
      </w:r>
      <w:r>
        <w:rPr>
          <w:rFonts w:ascii="Times New Roman" w:cs="Times New Roman" w:eastAsia="Times New Roman" w:hAnsi="Times New Roman"/>
          <w:sz w:val="18"/>
          <w:szCs w:val="18"/>
          <w:color w:val="auto"/>
        </w:rPr>
        <w:t>press-team@opera.com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6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123,210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151,937</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334,815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(74,523)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(143,101)</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(19,069)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(20,865)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(53,232)</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(57,090)</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(8,657)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(23,816)</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(32,516)</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(35,893)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(91,007)</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(104,091)</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(4,854)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(11,229)</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(13,921)</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(7,758)</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(6,584)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(23,723)</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(21,938)</w:t>
            </w:r>
          </w:p>
        </w:tc>
        <w:tc>
          <w:tcPr>
            <w:tcW w:w="0" w:type="dxa"/>
            <w:vAlign w:val="bottom"/>
          </w:tcPr>
          <w:p>
            <w:pPr>
              <w:spacing w:after="0"/>
              <w:rPr>
                <w:sz w:val="1"/>
                <w:szCs w:val="1"/>
                <w:color w:val="auto"/>
              </w:rPr>
            </w:pPr>
          </w:p>
        </w:tc>
      </w:tr>
      <w:tr>
        <w:trPr>
          <w:trHeight w:val="20"/>
        </w:trPr>
        <w:tc>
          <w:tcPr>
            <w:tcW w:w="50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(100,678)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(129,737)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(272,389)</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(376,233)</w:t>
            </w:r>
          </w:p>
        </w:tc>
        <w:tc>
          <w:tcPr>
            <w:tcW w:w="0" w:type="dxa"/>
            <w:vAlign w:val="bottom"/>
          </w:tcPr>
          <w:p>
            <w:pPr>
              <w:spacing w:after="0"/>
              <w:rPr>
                <w:sz w:val="1"/>
                <w:szCs w:val="1"/>
                <w:color w:val="auto"/>
              </w:rPr>
            </w:pPr>
          </w:p>
        </w:tc>
      </w:tr>
      <w:tr>
        <w:trPr>
          <w:trHeight w:val="209"/>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64,703</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foreign exchange gain (loss)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(2,472)</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8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64,382</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(12,300)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10"/>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82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6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88,458</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89,482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500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Opera Limited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600" w:type="dxa"/>
            <w:vAlign w:val="bottom"/>
            <w:gridSpan w:val="7"/>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Consolidated Statement of Comprehensive Income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20" w:type="dxa"/>
            <w:vAlign w:val="bottom"/>
            <w:gridSpan w:val="5"/>
          </w:tcPr>
          <w:p>
            <w:pPr>
              <w:jc w:val="center"/>
              <w:ind w:left="4050"/>
              <w:spacing w:after="0"/>
              <w:rPr>
                <w:sz w:val="20"/>
                <w:szCs w:val="20"/>
                <w:color w:val="auto"/>
              </w:rPr>
            </w:pPr>
            <w:r>
              <w:rPr>
                <w:rFonts w:ascii="Times New Roman" w:cs="Times New Roman" w:eastAsia="Times New Roman" w:hAnsi="Times New Roman"/>
                <w:sz w:val="18"/>
                <w:szCs w:val="18"/>
                <w:i w:val="1"/>
                <w:iCs w:val="1"/>
                <w:color w:val="auto"/>
              </w:rPr>
              <w:t>(In thousands, unaudited)</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5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gridSpan w:val="6"/>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8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8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19,409</w:t>
            </w:r>
          </w:p>
        </w:tc>
        <w:tc>
          <w:tcPr>
            <w:tcW w:w="16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53,386</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2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w w:val="88"/>
              </w:rPr>
              <w:t>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500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-5374005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-5374005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-5374005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-5374005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-5082540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-5082540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-5082540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-5082540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-4242435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-4242435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-4242435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-4242435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-3950970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-3950970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-3950970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-3950970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-899160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-899160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-899160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215"/>
        </w:trPr>
        <w:tc>
          <w:tcPr>
            <w:tcW w:w="47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429,742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 OPay</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823,681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826,568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231,904</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1,059,790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60" w:type="dxa"/>
            <w:vAlign w:val="bottom"/>
            <w:tcBorders>
              <w:top w:val="single" w:sz="8" w:color="CFF0FC"/>
            </w:tcBorders>
          </w:tcPr>
          <w:p>
            <w:pPr>
              <w:spacing w:after="0"/>
              <w:rPr>
                <w:sz w:val="17"/>
                <w:szCs w:val="17"/>
                <w:color w:val="auto"/>
              </w:rPr>
            </w:pPr>
          </w:p>
        </w:tc>
        <w:tc>
          <w:tcPr>
            <w:tcW w:w="268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647,212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shares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(238,815)</w:t>
            </w:r>
          </w:p>
        </w:tc>
        <w:tc>
          <w:tcPr>
            <w:tcW w:w="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(238,815)</w:t>
            </w: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(4,938)</w:t>
            </w:r>
          </w:p>
        </w:tc>
        <w:tc>
          <w:tcPr>
            <w:tcW w:w="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940,100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947,644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2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68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7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7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-4568190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-4011295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-3719830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-3702685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-2588260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-2030730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-1190625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-899160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80" w:type="dxa"/>
            <w:vAlign w:val="bottom"/>
          </w:tcPr>
          <w:p>
            <w:pPr>
              <w:spacing w:after="0"/>
              <w:rPr>
                <w:sz w:val="14"/>
                <w:szCs w:val="14"/>
                <w:color w:val="auto"/>
              </w:rPr>
            </w:pPr>
          </w:p>
        </w:tc>
        <w:tc>
          <w:tcPr>
            <w:tcW w:w="112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6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0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02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translation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Opera</w:t>
            </w:r>
          </w:p>
        </w:tc>
      </w:tr>
      <w:tr>
        <w:trPr>
          <w:trHeight w:val="183"/>
        </w:trPr>
        <w:tc>
          <w:tcPr>
            <w:tcW w:w="3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60" w:type="dxa"/>
            <w:vAlign w:val="bottom"/>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8"/>
              </w:rPr>
              <w:t>reserve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87,518,284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717,610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445,164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(4,127)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919,850</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52,082</w:t>
            </w:r>
          </w:p>
        </w:tc>
        <w:tc>
          <w:tcPr>
            <w:tcW w:w="100" w:type="dxa"/>
            <w:vAlign w:val="bottom"/>
          </w:tcPr>
          <w:p>
            <w:pPr>
              <w:spacing w:after="0"/>
              <w:rPr>
                <w:sz w:val="17"/>
                <w:szCs w:val="17"/>
                <w:color w:val="auto"/>
              </w:rPr>
            </w:pPr>
          </w:p>
        </w:tc>
      </w:tr>
      <w:tr>
        <w:trPr>
          <w:trHeight w:val="203"/>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FF0FC"/>
          </w:tcPr>
          <w:p>
            <w:pPr>
              <w:spacing w:after="0"/>
              <w:rPr>
                <w:sz w:val="17"/>
                <w:szCs w:val="17"/>
                <w:color w:val="auto"/>
              </w:rPr>
            </w:pP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100" w:type="dxa"/>
            <w:vAlign w:val="bottom"/>
          </w:tcPr>
          <w:p>
            <w:pPr>
              <w:spacing w:after="0"/>
              <w:rPr>
                <w:sz w:val="17"/>
                <w:szCs w:val="17"/>
                <w:color w:val="auto"/>
              </w:rPr>
            </w:pPr>
          </w:p>
        </w:tc>
      </w:tr>
      <w:tr>
        <w:trPr>
          <w:trHeight w:val="189"/>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961,870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(70,406)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(70,406)</w:t>
            </w:r>
          </w:p>
        </w:tc>
      </w:tr>
      <w:tr>
        <w:trPr>
          <w:trHeight w:val="20"/>
        </w:trPr>
        <w:tc>
          <w:tcPr>
            <w:tcW w:w="3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647,204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(238,815)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506,107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(2,823)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911,692</w:t>
            </w:r>
          </w:p>
        </w:tc>
        <w:tc>
          <w:tcPr>
            <w:tcW w:w="100" w:type="dxa"/>
            <w:vAlign w:val="bottom"/>
            <w:shd w:val="clear" w:color="auto" w:fill="CFF0FC"/>
          </w:tcPr>
          <w:p>
            <w:pPr>
              <w:spacing w:after="0"/>
              <w:rPr>
                <w:sz w:val="18"/>
                <w:szCs w:val="18"/>
                <w:color w:val="auto"/>
              </w:rPr>
            </w:pPr>
          </w:p>
        </w:tc>
      </w:tr>
      <w:tr>
        <w:trPr>
          <w:trHeight w:val="20"/>
        </w:trPr>
        <w:tc>
          <w:tcPr>
            <w:tcW w:w="3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9"/>
              </w:rPr>
              <w:t>Foreign</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Total equity</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currency</w:t>
            </w:r>
          </w:p>
        </w:tc>
        <w:tc>
          <w:tcPr>
            <w:tcW w:w="11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attributable to</w:t>
            </w:r>
          </w:p>
        </w:tc>
      </w:tr>
      <w:tr>
        <w:trPr>
          <w:trHeight w:val="162"/>
        </w:trPr>
        <w:tc>
          <w:tcPr>
            <w:tcW w:w="32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b w:val="1"/>
                <w:bCs w:val="1"/>
                <w:color w:val="auto"/>
              </w:rPr>
              <w:t>Treasury</w:t>
            </w:r>
          </w:p>
        </w:tc>
        <w:tc>
          <w:tcPr>
            <w:tcW w:w="100" w:type="dxa"/>
            <w:vAlign w:val="bottom"/>
          </w:tcPr>
          <w:p>
            <w:pPr>
              <w:spacing w:after="0"/>
              <w:rPr>
                <w:sz w:val="14"/>
                <w:szCs w:val="14"/>
                <w:color w:val="auto"/>
              </w:rPr>
            </w:pPr>
          </w:p>
        </w:tc>
        <w:tc>
          <w:tcPr>
            <w:tcW w:w="780" w:type="dxa"/>
            <w:vAlign w:val="bottom"/>
          </w:tcPr>
          <w:p>
            <w:pPr>
              <w:jc w:val="right"/>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220" w:type="dxa"/>
            <w:vAlign w:val="bottom"/>
          </w:tcPr>
          <w:p>
            <w:pPr>
              <w:spacing w:after="0"/>
              <w:rPr>
                <w:sz w:val="14"/>
                <w:szCs w:val="14"/>
                <w:color w:val="auto"/>
              </w:rPr>
            </w:pPr>
          </w:p>
        </w:tc>
        <w:tc>
          <w:tcPr>
            <w:tcW w:w="112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rPr>
              <w:t>translation</w:t>
            </w:r>
          </w:p>
        </w:tc>
        <w:tc>
          <w:tcPr>
            <w:tcW w:w="16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Opera</w:t>
            </w:r>
          </w:p>
        </w:tc>
      </w:tr>
      <w:tr>
        <w:trPr>
          <w:trHeight w:val="183"/>
        </w:trPr>
        <w:tc>
          <w:tcPr>
            <w:tcW w:w="32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24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Share capital</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reserve</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00" w:type="dxa"/>
            <w:vAlign w:val="bottom"/>
          </w:tcPr>
          <w:p>
            <w:pPr>
              <w:spacing w:after="0"/>
              <w:rPr>
                <w:sz w:val="15"/>
                <w:szCs w:val="15"/>
                <w:color w:val="auto"/>
              </w:rPr>
            </w:pPr>
          </w:p>
        </w:tc>
      </w:tr>
      <w:tr>
        <w:trPr>
          <w:trHeight w:val="19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January 1,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88,480,154</w:t>
            </w:r>
          </w:p>
        </w:tc>
        <w:tc>
          <w:tcPr>
            <w:tcW w:w="660" w:type="dxa"/>
            <w:vAlign w:val="bottom"/>
            <w:gridSpan w:val="2"/>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647,212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536,623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(4,938)</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940,100</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52,576</w:t>
            </w:r>
          </w:p>
        </w:tc>
        <w:tc>
          <w:tcPr>
            <w:tcW w:w="100" w:type="dxa"/>
            <w:vAlign w:val="bottom"/>
          </w:tcPr>
          <w:p>
            <w:pPr>
              <w:spacing w:after="0"/>
              <w:rPr>
                <w:sz w:val="17"/>
                <w:szCs w:val="17"/>
                <w:color w:val="auto"/>
              </w:rPr>
            </w:pPr>
          </w:p>
        </w:tc>
      </w:tr>
      <w:tr>
        <w:trPr>
          <w:trHeight w:val="203"/>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00" w:type="dxa"/>
            <w:vAlign w:val="bottom"/>
            <w:shd w:val="clear" w:color="auto" w:fill="CFF0FC"/>
          </w:tcPr>
          <w:p>
            <w:pPr>
              <w:spacing w:after="0"/>
              <w:rPr>
                <w:sz w:val="17"/>
                <w:szCs w:val="17"/>
                <w:color w:val="auto"/>
              </w:rPr>
            </w:pP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Cost of equity awards, net of tax</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22,938</w:t>
            </w:r>
          </w:p>
        </w:tc>
        <w:tc>
          <w:tcPr>
            <w:tcW w:w="100" w:type="dxa"/>
            <w:vAlign w:val="bottom"/>
          </w:tcPr>
          <w:p>
            <w:pPr>
              <w:spacing w:after="0"/>
              <w:rPr>
                <w:sz w:val="17"/>
                <w:szCs w:val="17"/>
                <w:color w:val="auto"/>
              </w:rPr>
            </w:pPr>
          </w:p>
        </w:tc>
      </w:tr>
      <w:tr>
        <w:trPr>
          <w:trHeight w:val="189"/>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shares upon exercise of equity</w:t>
            </w: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3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1,167,902</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Dividends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(71,167)</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(71,167)</w:t>
            </w:r>
          </w:p>
        </w:tc>
      </w:tr>
      <w:tr>
        <w:trPr>
          <w:trHeight w:val="20"/>
        </w:trPr>
        <w:tc>
          <w:tcPr>
            <w:tcW w:w="3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89,648,056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576,046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(238,815)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612,137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(1,742)</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947,644</w:t>
            </w:r>
          </w:p>
        </w:tc>
        <w:tc>
          <w:tcPr>
            <w:tcW w:w="100" w:type="dxa"/>
            <w:vAlign w:val="bottom"/>
            <w:shd w:val="clear" w:color="auto" w:fill="CFF0FC"/>
          </w:tcPr>
          <w:p>
            <w:pPr>
              <w:spacing w:after="0"/>
              <w:rPr>
                <w:sz w:val="18"/>
                <w:szCs w:val="18"/>
                <w:color w:val="auto"/>
              </w:rPr>
            </w:pPr>
          </w:p>
        </w:tc>
      </w:tr>
      <w:tr>
        <w:trPr>
          <w:trHeight w:val="20"/>
        </w:trPr>
        <w:tc>
          <w:tcPr>
            <w:tcW w:w="3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60" w:type="dxa"/>
            <w:vAlign w:val="bottom"/>
          </w:tcPr>
          <w:p>
            <w:pPr>
              <w:spacing w:after="0"/>
              <w:rPr>
                <w:sz w:val="18"/>
                <w:szCs w:val="18"/>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22,584</w:t>
            </w:r>
          </w:p>
        </w:tc>
        <w:tc>
          <w:tcPr>
            <w:tcW w:w="14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64,382</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61,137</w:t>
            </w:r>
          </w:p>
        </w:tc>
        <w:tc>
          <w:tcPr>
            <w:tcW w:w="120" w:type="dxa"/>
            <w:vAlign w:val="bottom"/>
          </w:tcPr>
          <w:p>
            <w:pPr>
              <w:spacing w:after="0"/>
              <w:rPr>
                <w:sz w:val="18"/>
                <w:szCs w:val="18"/>
                <w:color w:val="auto"/>
              </w:rPr>
            </w:pPr>
          </w:p>
        </w:tc>
      </w:tr>
      <w:tr>
        <w:trPr>
          <w:trHeight w:val="196"/>
        </w:trPr>
        <w:tc>
          <w:tcPr>
            <w:tcW w:w="554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equity awards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(8,519)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(5,503)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(1,987)</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(11,226)</w:t>
            </w: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(6,800)</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(1,927)</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(4,268)</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(6,694)</w:t>
            </w:r>
          </w:p>
        </w:tc>
      </w:tr>
      <w:tr>
        <w:trPr>
          <w:trHeight w:val="209"/>
        </w:trPr>
        <w:tc>
          <w:tcPr>
            <w:tcW w:w="55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83,334</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(23,310)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(4,207)</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(5,391)</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(7,462)</w:t>
            </w: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long-term investments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investing activities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(25,784)</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(11,803)</w:t>
            </w: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(37,443)</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(71,167)</w:t>
            </w:r>
          </w:p>
        </w:tc>
      </w:tr>
      <w:tr>
        <w:trPr>
          <w:trHeight w:val="216"/>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(3,078)</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(3,491)</w:t>
            </w: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5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(28,726)</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(37,106)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(40,910)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(75,082)</w:t>
            </w:r>
          </w:p>
        </w:tc>
      </w:tr>
      <w:tr>
        <w:trPr>
          <w:trHeight w:val="20"/>
        </w:trPr>
        <w:tc>
          <w:tcPr>
            <w:tcW w:w="55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(9,367)</w:t>
            </w: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133,823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2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(4,498)</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8"/>
                <w:szCs w:val="18"/>
                <w:color w:val="auto"/>
              </w:rPr>
            </w:pPr>
          </w:p>
        </w:tc>
      </w:tr>
      <w:tr>
        <w:trPr>
          <w:trHeight w:val="249"/>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1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119,042</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106,005</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119,042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602"/>
        </w:trPr>
        <w:tc>
          <w:tcPr>
            <w:tcW w:w="554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06"/>
        </w:trPr>
        <w:tc>
          <w:tcPr>
            <w:tcW w:w="5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-3007995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-3007995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-3007995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-3007995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-2176780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-2176780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-2176780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-2176780</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-1327785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-1327785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-1327785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-1327785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-753745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-753745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-736600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-736600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198,968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Query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135,107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licensing and other revenue</w:t>
            </w: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123,210</w:t>
            </w:r>
          </w:p>
        </w:tc>
        <w:tc>
          <w:tcPr>
            <w:tcW w:w="16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151,937</w:t>
            </w:r>
          </w:p>
        </w:tc>
        <w:tc>
          <w:tcPr>
            <w:tcW w:w="1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334,815</w:t>
            </w:r>
          </w:p>
        </w:tc>
        <w:tc>
          <w:tcPr>
            <w:tcW w:w="2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 Expenses</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amounts of share-based compensation expenses: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left="43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5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Opera-granted awards</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(6,854)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(3,372)</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(21,143)</w:t>
            </w:r>
          </w:p>
        </w:tc>
        <w:tc>
          <w:tcPr>
            <w:tcW w:w="0" w:type="dxa"/>
            <w:vAlign w:val="bottom"/>
          </w:tcPr>
          <w:p>
            <w:pPr>
              <w:spacing w:after="0"/>
              <w:rPr>
                <w:sz w:val="1"/>
                <w:szCs w:val="1"/>
                <w:color w:val="auto"/>
              </w:rPr>
            </w:pPr>
          </w:p>
        </w:tc>
      </w:tr>
      <w:tr>
        <w:trPr>
          <w:trHeight w:val="216"/>
        </w:trPr>
        <w:tc>
          <w:tcPr>
            <w:tcW w:w="57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parent-granted awards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(4,399)</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equity awards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(7,771)</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(22,379)</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for Opera-granted awards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(887)</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(9,052)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(8,657)</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(23,816)</w:t>
            </w:r>
          </w:p>
        </w:tc>
        <w:tc>
          <w:tcPr>
            <w:tcW w:w="0" w:type="dxa"/>
            <w:vAlign w:val="bottom"/>
          </w:tcPr>
          <w:p>
            <w:pPr>
              <w:spacing w:after="0"/>
              <w:rPr>
                <w:sz w:val="1"/>
                <w:szCs w:val="1"/>
                <w:color w:val="auto"/>
              </w:rPr>
            </w:pPr>
          </w:p>
        </w:tc>
      </w:tr>
      <w:tr>
        <w:trPr>
          <w:trHeight w:val="201"/>
        </w:trPr>
        <w:tc>
          <w:tcPr>
            <w:tcW w:w="572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-2110740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-2110740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-2110740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-2110740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-456565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-456565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-456565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-456565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-165100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-147955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-165100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-147955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-147955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-165100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-147955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380" w:right="180" w:hanging="372"/>
        <w:spacing w:after="0" w:line="275"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Kunlun, the majority shareholder of Opera, has granted equity awards to Opera employees as compensation for services provided to Opera. Opera does not have any obligation to settle the awards granted by Kunlun and such awards do not lead to dilution for Opera shareholders.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items of other operating expenses: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4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w:t>
            </w:r>
          </w:p>
        </w:tc>
        <w:tc>
          <w:tcPr>
            <w:tcW w:w="18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(3,417)</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(3,341)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(9,234)</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(9,511)</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(5,788)</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(4,467)</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(3,256)</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(2,487)</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(1,764)</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(1,713)</w:t>
            </w: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w:t>
            </w:r>
          </w:p>
        </w:tc>
        <w:tc>
          <w:tcPr>
            <w:tcW w:w="1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(1,465)</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(2,216)</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(2,303)</w:t>
            </w:r>
          </w:p>
        </w:tc>
      </w:tr>
      <w:tr>
        <w:trPr>
          <w:trHeight w:val="20"/>
        </w:trPr>
        <w:tc>
          <w:tcPr>
            <w:tcW w:w="4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(7,758)</w:t>
            </w: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(6,584)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(23,723)</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(21,938)</w:t>
            </w:r>
          </w:p>
        </w:tc>
      </w:tr>
      <w:tr>
        <w:trPr>
          <w:trHeight w:val="588"/>
        </w:trPr>
        <w:tc>
          <w:tcPr>
            <w:tcW w:w="4220" w:type="dxa"/>
            <w:vAlign w:val="bottom"/>
            <w:tcBorders>
              <w:top w:val="single" w:sz="8" w:color="CFF0FC"/>
            </w:tcBorders>
          </w:tcPr>
          <w:p>
            <w:pPr>
              <w:spacing w:after="0"/>
              <w:rPr>
                <w:sz w:val="24"/>
                <w:szCs w:val="24"/>
                <w:color w:val="auto"/>
              </w:rPr>
            </w:pPr>
          </w:p>
        </w:tc>
        <w:tc>
          <w:tcPr>
            <w:tcW w:w="160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506"/>
        </w:trPr>
        <w:tc>
          <w:tcPr>
            <w:tcW w:w="4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-744855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-728345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-744855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-728345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-744855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-728345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Reconciliations of Non-IFRS Financial Measures</w:t>
      </w:r>
    </w:p>
    <w:p>
      <w:pPr>
        <w:spacing w:after="0" w:line="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adjusted net income to net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(1,344)</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(5,166)</w:t>
            </w:r>
          </w:p>
        </w:tc>
      </w:tr>
      <w:tr>
        <w:trPr>
          <w:trHeight w:val="209"/>
        </w:trPr>
        <w:tc>
          <w:tcPr>
            <w:tcW w:w="58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26,834</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74,712</w:t>
            </w:r>
          </w:p>
        </w:tc>
        <w:tc>
          <w:tcPr>
            <w:tcW w:w="12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Diluted weighted-average number of shares outstanding</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89,487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90,800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89,482</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90,691</w:t>
            </w:r>
          </w:p>
        </w:tc>
        <w:tc>
          <w:tcPr>
            <w:tcW w:w="120" w:type="dxa"/>
            <w:vAlign w:val="bottom"/>
            <w:shd w:val="clear" w:color="auto" w:fill="CFF0FC"/>
          </w:tcPr>
          <w:p>
            <w:pPr>
              <w:spacing w:after="0"/>
              <w:rPr>
                <w:sz w:val="17"/>
                <w:szCs w:val="17"/>
                <w:color w:val="auto"/>
              </w:rPr>
            </w:pP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60" w:type="dxa"/>
            <w:vAlign w:val="bottom"/>
          </w:tcPr>
          <w:p>
            <w:pPr>
              <w:spacing w:after="0"/>
              <w:rPr>
                <w:sz w:val="20"/>
                <w:szCs w:val="20"/>
                <w:color w:val="auto"/>
              </w:rPr>
            </w:pP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spacing w:after="0"/>
              <w:rPr>
                <w:sz w:val="20"/>
                <w:szCs w:val="20"/>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260" w:type="dxa"/>
            <w:vAlign w:val="bottom"/>
          </w:tcPr>
          <w:p>
            <w:pPr>
              <w:spacing w:after="0"/>
              <w:rPr>
                <w:sz w:val="20"/>
                <w:szCs w:val="20"/>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20"/>
                <w:szCs w:val="20"/>
                <w:color w:val="auto"/>
              </w:rPr>
            </w:pPr>
          </w:p>
        </w:tc>
      </w:tr>
      <w:tr>
        <w:trPr>
          <w:trHeight w:val="4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adjusted EBITDA to net income: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03"/>
        </w:trPr>
        <w:tc>
          <w:tcPr>
            <w:tcW w:w="5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6"/>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45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5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52,082</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52,576</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8,561</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11,229</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23,816</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income</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(654)</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(2,278)</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r>
      <w:tr>
        <w:trPr>
          <w:trHeight w:val="210"/>
        </w:trPr>
        <w:tc>
          <w:tcPr>
            <w:tcW w:w="58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30,797</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82,316</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100,640</w:t>
            </w:r>
          </w:p>
        </w:tc>
        <w:tc>
          <w:tcPr>
            <w:tcW w:w="120" w:type="dxa"/>
            <w:vAlign w:val="bottom"/>
            <w:tcBorders>
              <w:top w:val="single" w:sz="8" w:color="CFF0FC"/>
            </w:tcBorders>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-2665095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-2665095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-2665095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reconciles free cash flow from operations to net cash flow from operating activities: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20" w:type="dxa"/>
            <w:vAlign w:val="bottom"/>
            <w:gridSpan w:val="5"/>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2"/>
        </w:trPr>
        <w:tc>
          <w:tcPr>
            <w:tcW w:w="4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19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34,896</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28,454</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83,334</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Deduct:</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(23,310)</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16"/>
        </w:trPr>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(5,391)</w:t>
            </w:r>
          </w:p>
        </w:tc>
        <w:tc>
          <w:tcPr>
            <w:tcW w:w="3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(7,462)</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(3,078)</w:t>
            </w: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09"/>
        </w:trPr>
        <w:tc>
          <w:tcPr>
            <w:tcW w:w="41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tc>
        <w:tc>
          <w:tcPr>
            <w:tcW w:w="16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29,739</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21,257</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51,555</w:t>
            </w: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62,357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1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-899160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-899160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-899160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-899160</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2025-10-29T06:18:08Z</dcterms:created>
  <dcterms:modified xsi:type="dcterms:W3CDTF">2025-10-29T06:18:08Z</dcterms:modified>
</cp:coreProperties>
</file>