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t>As filed with the Securities and Exchange Commission on January 9, 2026</w:t>
      </w:r>
    </w:p>
    <w:p>
      <w:pPr>
        <w:spacing w:after="0" w:line="4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141605</wp:posOffset>
            </wp:positionV>
            <wp:extent cx="18002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S-8</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REGISTRATION STATEMENT</w:t>
      </w: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150495</wp:posOffset>
            </wp:positionV>
            <wp:extent cx="1800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0225"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313690</wp:posOffset>
            </wp:positionV>
            <wp:extent cx="874395" cy="377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74395"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Opera Limited</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146050</wp:posOffset>
            </wp:positionV>
            <wp:extent cx="1800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p>
      <w:pPr>
        <w:spacing w:after="0" w:line="200" w:lineRule="exact"/>
        <w:rPr>
          <w:sz w:val="24"/>
          <w:szCs w:val="24"/>
          <w:color w:val="auto"/>
        </w:rPr>
      </w:pPr>
    </w:p>
    <w:p>
      <w:pPr>
        <w:spacing w:after="0" w:line="251"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sectPr>
          <w:pgSz w:w="11900" w:h="16838" w:orient="portrait"/>
          <w:cols w:equalWidth="0" w:num="2">
            <w:col w:w="7140" w:space="720"/>
            <w:col w:w="3380"/>
          </w:cols>
          <w:pgMar w:left="320" w:top="873" w:right="339" w:bottom="1440" w:gutter="0" w:footer="0" w:header="0"/>
          <w:type w:val="continuous"/>
        </w:sectPr>
      </w:pPr>
    </w:p>
    <w:p>
      <w:pPr>
        <w:ind w:left="88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6520" w:space="720"/>
            <w:col w:w="4000"/>
          </w:cols>
          <w:pgMar w:left="320" w:top="873" w:right="339" w:bottom="1440" w:gutter="0" w:footer="0" w:header="0"/>
          <w:type w:val="continuous"/>
        </w:sectPr>
      </w:pP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Vitaminveien 4, 0485 Oslo, Norway</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(Address of principal executive offices and Zip Code)</w:t>
      </w: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Second Amended and Restated Share Incentive Plan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(Full title of the plan)</w:t>
      </w: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122 East 42nd Street, 18th Floor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York, NY 10168</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(212) 947-7200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(Name, address and telephone number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149225</wp:posOffset>
            </wp:positionV>
            <wp:extent cx="18002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873" w:right="339" w:bottom="1440" w:gutter="0" w:footer="0" w:header="0"/>
          <w:type w:val="continuous"/>
        </w:sectPr>
      </w:pPr>
    </w:p>
    <w:p>
      <w:pPr>
        <w:spacing w:after="0" w:line="13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33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40" w:lineRule="exact"/>
        <w:rPr>
          <w:sz w:val="24"/>
          <w:szCs w:val="24"/>
          <w:color w:val="auto"/>
        </w:rPr>
      </w:pPr>
    </w:p>
    <w:p>
      <w:pPr>
        <w:sectPr>
          <w:pgSz w:w="11900" w:h="16838" w:orient="portrait"/>
          <w:cols w:equalWidth="0" w:num="3">
            <w:col w:w="7920" w:space="720"/>
            <w:col w:w="1960" w:space="100"/>
            <w:col w:w="540"/>
          </w:cols>
          <w:pgMar w:left="320" w:top="873" w:right="339" w:bottom="1440" w:gutter="0" w:footer="0" w:header="0"/>
          <w:type w:val="continuous"/>
        </w:sectPr>
      </w:pPr>
    </w:p>
    <w:p>
      <w:pPr>
        <w:spacing w:after="0" w:line="18"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450215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1" w:name="page2"/>
    <w:bookmarkEnd w:id="1"/>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This Registration Statement is filed by Opera Limited (the “Registrant”) to register 3,000,000 additional ordinary shares issuable pursuant to the Second Amended and Restated Share Incentive Plan and consists of only those items required by General Instruction E to Form S-8. On December 10, 2025, the Registrant’s board of directors adopted the Second Amended and Restated Share Incentive Plan, pursuant to which the Registrant is increasing the number of shares authorized under the plan by: (a) the addition of two (2) million American Depositary Shares representing Shares (“ADSs”), from 10,000,000 ADSs to 12,000,000 ADSs; and (b) with an annual increase of an additional one (1) million ADSs on each January 1, starting on January 1, 2026, or such lesser number of ADSs as may be set by the Registrant’s board of directors prior to the first day of any calendar year.</w:t>
      </w:r>
    </w:p>
    <w:p>
      <w:pPr>
        <w:spacing w:after="0" w:line="160" w:lineRule="exact"/>
        <w:rPr>
          <w:sz w:val="20"/>
          <w:szCs w:val="20"/>
          <w:color w:val="auto"/>
        </w:rPr>
      </w:pPr>
    </w:p>
    <w:p>
      <w:pPr>
        <w:ind w:right="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accordance with General Instruction E to Form S-8, the contents of the registration statements on </w:t>
      </w:r>
      <w:hyperlink r:id="rId14">
        <w:r>
          <w:rPr>
            <w:rFonts w:ascii="Times New Roman" w:cs="Times New Roman" w:eastAsia="Times New Roman" w:hAnsi="Times New Roman"/>
            <w:sz w:val="18"/>
            <w:szCs w:val="18"/>
            <w:u w:val="single" w:color="auto"/>
            <w:color w:val="0000FF"/>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333-229285), as filed with the Securities and Exchange Commission (the “Commission”) on January 18, 2019, are incorporated herein by reference, except as otherwise set forth herein.</w:t>
      </w:r>
    </w:p>
    <w:p>
      <w:pPr>
        <w:spacing w:after="0" w:line="11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8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filed by the Registrant with the Securities and Exchange Commission (the “Commission”) are incorporated by reference herein:</w:t>
      </w:r>
    </w:p>
    <w:p>
      <w:pPr>
        <w:spacing w:after="0" w:line="185" w:lineRule="exact"/>
        <w:rPr>
          <w:sz w:val="20"/>
          <w:szCs w:val="20"/>
          <w:color w:val="auto"/>
        </w:rPr>
      </w:pPr>
    </w:p>
    <w:p>
      <w:pPr>
        <w:ind w:left="760" w:right="120" w:hanging="378"/>
        <w:spacing w:after="0" w:line="282" w:lineRule="auto"/>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w:t>
      </w:r>
      <w:hyperlink r:id="rId15">
        <w:r>
          <w:rPr>
            <w:rFonts w:ascii="Times New Roman" w:cs="Times New Roman" w:eastAsia="Times New Roman" w:hAnsi="Times New Roman"/>
            <w:sz w:val="18"/>
            <w:szCs w:val="18"/>
            <w:u w:val="single" w:color="auto"/>
            <w:color w:val="0000FF"/>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001-38588) for the year ended December 31, 2024, filed with the Commission on April 10, 2025;</w:t>
      </w:r>
    </w:p>
    <w:p>
      <w:pPr>
        <w:spacing w:after="0" w:line="13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 and</w:t>
      </w:r>
    </w:p>
    <w:p>
      <w:pPr>
        <w:spacing w:after="0" w:line="184" w:lineRule="exact"/>
        <w:rPr>
          <w:rFonts w:ascii="Times New Roman" w:cs="Times New Roman" w:eastAsia="Times New Roman" w:hAnsi="Times New Roman"/>
          <w:sz w:val="18"/>
          <w:szCs w:val="18"/>
          <w:color w:val="auto"/>
        </w:rPr>
      </w:pPr>
    </w:p>
    <w:p>
      <w:pPr>
        <w:ind w:left="760" w:right="380" w:hanging="378"/>
        <w:spacing w:after="0" w:line="282" w:lineRule="auto"/>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Ordinary Shares contained in its registration statement on </w:t>
      </w:r>
      <w:hyperlink r:id="rId16">
        <w:r>
          <w:rPr>
            <w:rFonts w:ascii="Times New Roman" w:cs="Times New Roman" w:eastAsia="Times New Roman" w:hAnsi="Times New Roman"/>
            <w:sz w:val="18"/>
            <w:szCs w:val="18"/>
            <w:u w:val="single" w:color="auto"/>
            <w:color w:val="0000FF"/>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001-38588) filed with the Commission on July 13, 2018, including any amendment and report filed for the purpose of updating that description.</w:t>
      </w:r>
    </w:p>
    <w:p>
      <w:pPr>
        <w:spacing w:after="0" w:line="121" w:lineRule="exact"/>
        <w:rPr>
          <w:rFonts w:ascii="Times New Roman" w:cs="Times New Roman" w:eastAsia="Times New Roman" w:hAnsi="Times New Roman"/>
          <w:sz w:val="18"/>
          <w:szCs w:val="18"/>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All documents subsequently filed by the Registrant pursuant to Sections 13(a), 13(c), 14 or 15(d) of the Securities Exchange Act of 1934 (the “Exchange Act”),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in this registration statement and to be part hereof from the date of filing of such documents. Any statement in a document incorporated or deemed to be incorporated by reference in this registration statement will be deemed to be modified or superseded to the extent that a statement contained in this registration statement or in any other later filed document that also is or is deemed to be incorporated by reference modifies or supersedes such statement. Any such statement so modified or superseded will not be deemed, except as so modified or superseded, to be a part of this registration statement.</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461645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5" w:right="4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20"/>
                <w:szCs w:val="20"/>
                <w:color w:val="auto"/>
              </w:rPr>
            </w:pPr>
          </w:p>
        </w:tc>
        <w:tc>
          <w:tcPr>
            <w:tcW w:w="10320" w:type="dxa"/>
            <w:vAlign w:val="bottom"/>
            <w:tcBorders>
              <w:bottom w:val="single" w:sz="8" w:color="auto"/>
            </w:tcBorders>
            <w:gridSpan w:val="15"/>
          </w:tcPr>
          <w:p>
            <w:pPr>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169"/>
        </w:trPr>
        <w:tc>
          <w:tcPr>
            <w:tcW w:w="8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4"/>
                <w:szCs w:val="14"/>
                <w:color w:val="auto"/>
              </w:rPr>
            </w:pPr>
          </w:p>
        </w:tc>
        <w:tc>
          <w:tcPr>
            <w:tcW w:w="9980" w:type="dxa"/>
            <w:vAlign w:val="bottom"/>
            <w:tcBorders>
              <w:bottom w:val="single" w:sz="8" w:color="0000EE"/>
            </w:tcBorders>
            <w:gridSpan w:val="11"/>
          </w:tcPr>
          <w:p>
            <w:pPr>
              <w:spacing w:after="0" w:line="169"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Second Amended and Restated Memorandum and Articles of Association of the Registrant (incorporated by reference to Exhibit 3.2 from</w:t>
              </w:r>
            </w:hyperlink>
          </w:p>
        </w:tc>
        <w:tc>
          <w:tcPr>
            <w:tcW w:w="340" w:type="dxa"/>
            <w:vAlign w:val="bottom"/>
            <w:gridSpan w:val="4"/>
          </w:tcPr>
          <w:p>
            <w:pPr>
              <w:spacing w:after="0"/>
              <w:rPr>
                <w:sz w:val="14"/>
                <w:szCs w:val="14"/>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20" w:type="dxa"/>
            <w:vAlign w:val="bottom"/>
            <w:gridSpan w:val="15"/>
          </w:tcPr>
          <w:p>
            <w:pPr>
              <w:spacing w:after="0" w:line="196"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Registrant’s registration statement on Amendment No. 1 to Form F-1 (File No. 333-226017) filed with the Commission on July 13, 2018)</w:t>
              </w:r>
            </w:hyperlink>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101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Registrant’s Specimen Certificate for Ordinary Shares (incorporated by reference to Exhibit 4.2 to the Registrant’s registration statement on</w:t>
              </w:r>
            </w:hyperlink>
          </w:p>
        </w:tc>
        <w:tc>
          <w:tcPr>
            <w:tcW w:w="200" w:type="dxa"/>
            <w:vAlign w:val="bottom"/>
            <w:gridSpan w:val="2"/>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3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9">
              <w:r>
                <w:rPr>
                  <w:rFonts w:ascii="Times New Roman" w:cs="Times New Roman" w:eastAsia="Times New Roman" w:hAnsi="Times New Roman"/>
                  <w:sz w:val="18"/>
                  <w:szCs w:val="18"/>
                  <w:color w:val="0000EE"/>
                  <w:w w:val="99"/>
                </w:rPr>
                <w:t>Form F-1, as amended (File No. 333-226017) filed with the Commission)</w:t>
              </w:r>
            </w:hyperlink>
          </w:p>
        </w:tc>
        <w:tc>
          <w:tcPr>
            <w:tcW w:w="5000" w:type="dxa"/>
            <w:vAlign w:val="bottom"/>
            <w:gridSpan w:val="9"/>
          </w:tcPr>
          <w:p>
            <w:pPr>
              <w:spacing w:after="0"/>
              <w:rPr>
                <w:sz w:val="17"/>
                <w:szCs w:val="17"/>
                <w:color w:val="auto"/>
              </w:rPr>
            </w:pPr>
          </w:p>
        </w:tc>
      </w:tr>
      <w:tr>
        <w:trPr>
          <w:trHeight w:val="30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103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Form of Deposit Agreement among the Registrant, The Bank of New York Mellon and owners and holders from time to time of the American</w:t>
              </w:r>
            </w:hyperlink>
          </w:p>
        </w:tc>
        <w:tc>
          <w:tcPr>
            <w:tcW w:w="20" w:type="dxa"/>
            <w:vAlign w:val="bottom"/>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7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Depositary shares issued thereunder (incorporated by reference to Exhibit 4.3 to the Registrant’s registration statement on Form F-1, as</w:t>
              </w:r>
            </w:hyperlink>
          </w:p>
        </w:tc>
        <w:tc>
          <w:tcPr>
            <w:tcW w:w="540" w:type="dxa"/>
            <w:vAlign w:val="bottom"/>
            <w:gridSpan w:val="6"/>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20" w:type="dxa"/>
            <w:vAlign w:val="bottom"/>
            <w:gridSpan w:val="15"/>
          </w:tcPr>
          <w:p>
            <w:pPr>
              <w:spacing w:after="0" w:line="19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amended (File No. 333-226017) filed with the Commission)</w:t>
              </w:r>
            </w:hyperlink>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30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4"/>
                <w:szCs w:val="24"/>
                <w:color w:val="auto"/>
              </w:rPr>
            </w:pPr>
          </w:p>
        </w:tc>
        <w:tc>
          <w:tcPr>
            <w:tcW w:w="1000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21">
              <w:r>
                <w:rPr>
                  <w:rFonts w:ascii="Times New Roman" w:cs="Times New Roman" w:eastAsia="Times New Roman" w:hAnsi="Times New Roman"/>
                  <w:sz w:val="18"/>
                  <w:szCs w:val="18"/>
                  <w:color w:val="0000FF"/>
                  <w:w w:val="99"/>
                </w:rPr>
                <w:t>Form of Registrant’s Specimen American Depositary Receipt (incorporated by reference from the Registrant’s Form 424B3 (File No. 333-</w:t>
              </w:r>
            </w:hyperlink>
          </w:p>
        </w:tc>
        <w:tc>
          <w:tcPr>
            <w:tcW w:w="320" w:type="dxa"/>
            <w:vAlign w:val="bottom"/>
            <w:gridSpan w:val="3"/>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6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21">
              <w:r>
                <w:rPr>
                  <w:rFonts w:ascii="Times New Roman" w:cs="Times New Roman" w:eastAsia="Times New Roman" w:hAnsi="Times New Roman"/>
                  <w:sz w:val="18"/>
                  <w:szCs w:val="18"/>
                  <w:color w:val="0000FF"/>
                  <w:w w:val="99"/>
                </w:rPr>
                <w:t>226171) filed publicly with the Commission on December 4, 2024)</w:t>
              </w:r>
            </w:hyperlink>
          </w:p>
        </w:tc>
        <w:tc>
          <w:tcPr>
            <w:tcW w:w="5460" w:type="dxa"/>
            <w:vAlign w:val="bottom"/>
            <w:gridSpan w:val="11"/>
          </w:tcPr>
          <w:p>
            <w:pPr>
              <w:spacing w:after="0"/>
              <w:rPr>
                <w:sz w:val="17"/>
                <w:szCs w:val="17"/>
                <w:color w:val="auto"/>
              </w:rPr>
            </w:pPr>
          </w:p>
        </w:tc>
      </w:tr>
      <w:tr>
        <w:trPr>
          <w:trHeight w:val="30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4"/>
                <w:szCs w:val="24"/>
                <w:color w:val="auto"/>
              </w:rPr>
            </w:pPr>
          </w:p>
        </w:tc>
        <w:tc>
          <w:tcPr>
            <w:tcW w:w="77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Opinion of Maples and Calder (Hong Kong) LLP regarding the validity of Ordinary Shares being registered</w:t>
            </w:r>
          </w:p>
        </w:tc>
        <w:tc>
          <w:tcPr>
            <w:tcW w:w="2540" w:type="dxa"/>
            <w:vAlign w:val="bottom"/>
            <w:gridSpan w:val="7"/>
          </w:tcPr>
          <w:p>
            <w:pPr>
              <w:spacing w:after="0"/>
              <w:rPr>
                <w:sz w:val="24"/>
                <w:szCs w:val="24"/>
                <w:color w:val="auto"/>
              </w:rPr>
            </w:pPr>
          </w:p>
        </w:tc>
      </w:tr>
      <w:tr>
        <w:trPr>
          <w:trHeight w:val="30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012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22">
              <w:r>
                <w:rPr>
                  <w:rFonts w:ascii="Times New Roman" w:cs="Times New Roman" w:eastAsia="Times New Roman" w:hAnsi="Times New Roman"/>
                  <w:sz w:val="18"/>
                  <w:szCs w:val="18"/>
                  <w:color w:val="0000FF"/>
                </w:rPr>
                <w:t>Second Amended and Restated Share Incentive Plan (incorporated by reference to Exhibit 10.1 to the Form S-8 POS (File No. 333-229285)</w:t>
              </w:r>
            </w:hyperlink>
          </w:p>
        </w:tc>
        <w:tc>
          <w:tcPr>
            <w:tcW w:w="200" w:type="dxa"/>
            <w:vAlign w:val="bottom"/>
            <w:gridSpan w:val="2"/>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20" w:type="dxa"/>
            <w:vAlign w:val="bottom"/>
            <w:gridSpan w:val="15"/>
          </w:tcPr>
          <w:p>
            <w:pPr>
              <w:spacing w:after="0" w:line="196" w:lineRule="exact"/>
              <w:rPr>
                <w:rFonts w:ascii="Times New Roman" w:cs="Times New Roman" w:eastAsia="Times New Roman" w:hAnsi="Times New Roman"/>
                <w:sz w:val="18"/>
                <w:szCs w:val="18"/>
                <w:color w:val="0000FF"/>
              </w:rPr>
            </w:pPr>
            <w:hyperlink r:id="rId22">
              <w:r>
                <w:rPr>
                  <w:rFonts w:ascii="Times New Roman" w:cs="Times New Roman" w:eastAsia="Times New Roman" w:hAnsi="Times New Roman"/>
                  <w:sz w:val="18"/>
                  <w:szCs w:val="18"/>
                  <w:color w:val="0000FF"/>
                </w:rPr>
                <w:t>filed with the Commission on December 11, 2025)</w:t>
              </w:r>
            </w:hyperlink>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940" w:type="dxa"/>
            <w:vAlign w:val="bottom"/>
            <w:gridSpan w:val="8"/>
          </w:tcPr>
          <w:p>
            <w:pPr>
              <w:spacing w:after="0" w:line="20" w:lineRule="exact"/>
              <w:rPr>
                <w:sz w:val="1"/>
                <w:szCs w:val="1"/>
                <w:color w:val="auto"/>
              </w:rPr>
            </w:pPr>
          </w:p>
        </w:tc>
      </w:tr>
      <w:tr>
        <w:trPr>
          <w:trHeight w:val="30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4"/>
                <w:szCs w:val="24"/>
                <w:color w:val="auto"/>
              </w:rPr>
            </w:pPr>
          </w:p>
        </w:tc>
        <w:tc>
          <w:tcPr>
            <w:tcW w:w="103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Consent of KPMG AS, Independent Registered Public Accounting Firm</w:t>
            </w: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40" w:type="dxa"/>
            <w:vAlign w:val="bottom"/>
            <w:gridSpan w:val="2"/>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940" w:type="dxa"/>
            <w:vAlign w:val="bottom"/>
            <w:gridSpan w:val="8"/>
          </w:tcPr>
          <w:p>
            <w:pPr>
              <w:spacing w:after="0" w:line="20" w:lineRule="exact"/>
              <w:rPr>
                <w:sz w:val="1"/>
                <w:szCs w:val="1"/>
                <w:color w:val="auto"/>
              </w:rPr>
            </w:pPr>
          </w:p>
        </w:tc>
      </w:tr>
      <w:tr>
        <w:trPr>
          <w:trHeight w:val="30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24"/>
                <w:szCs w:val="24"/>
                <w:color w:val="auto"/>
              </w:rPr>
            </w:pPr>
          </w:p>
        </w:tc>
        <w:tc>
          <w:tcPr>
            <w:tcW w:w="103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Consent of Maples and Calder (Hong Kong) LLP (included in Exhibit 5.1)</w:t>
            </w:r>
          </w:p>
        </w:tc>
      </w:tr>
      <w:tr>
        <w:trPr>
          <w:trHeight w:val="30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4"/>
                <w:szCs w:val="24"/>
                <w:color w:val="auto"/>
              </w:rPr>
            </w:pPr>
          </w:p>
        </w:tc>
        <w:tc>
          <w:tcPr>
            <w:tcW w:w="39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Power of Attorney (included on signature page hereto)</w:t>
            </w:r>
          </w:p>
        </w:tc>
        <w:tc>
          <w:tcPr>
            <w:tcW w:w="1440" w:type="dxa"/>
            <w:vAlign w:val="bottom"/>
            <w:tcBorders>
              <w:top w:val="single" w:sz="8" w:color="0000FF"/>
            </w:tcBorders>
            <w:gridSpan w:val="5"/>
          </w:tcPr>
          <w:p>
            <w:pPr>
              <w:spacing w:after="0"/>
              <w:rPr>
                <w:sz w:val="24"/>
                <w:szCs w:val="24"/>
                <w:color w:val="auto"/>
              </w:rPr>
            </w:pPr>
          </w:p>
        </w:tc>
        <w:tc>
          <w:tcPr>
            <w:tcW w:w="4940" w:type="dxa"/>
            <w:vAlign w:val="bottom"/>
            <w:gridSpan w:val="8"/>
          </w:tcPr>
          <w:p>
            <w:pPr>
              <w:spacing w:after="0"/>
              <w:rPr>
                <w:sz w:val="24"/>
                <w:szCs w:val="24"/>
                <w:color w:val="auto"/>
              </w:rPr>
            </w:pPr>
          </w:p>
        </w:tc>
      </w:tr>
    </w:tbl>
    <w:p>
      <w:pPr>
        <w:spacing w:after="0" w:line="117" w:lineRule="exact"/>
        <w:rPr>
          <w:sz w:val="20"/>
          <w:szCs w:val="20"/>
          <w:color w:val="auto"/>
        </w:rPr>
      </w:pPr>
    </w:p>
    <w:p>
      <w:pPr>
        <w:ind w:left="920" w:hanging="912"/>
        <w:spacing w:after="0"/>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Filing Fee Table</w:t>
      </w:r>
    </w:p>
    <w:p>
      <w:pPr>
        <w:spacing w:after="0" w:line="6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w:t>
      </w:r>
    </w:p>
    <w:p>
      <w:pPr>
        <w:spacing w:after="0" w:line="6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624840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3" w:name="page4"/>
    <w:bookmarkEnd w:id="3"/>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Republic of Singapore, on the 9th day of January, 2026.</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Opera Limited</w:t>
            </w: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9, 2026</w:t>
            </w:r>
          </w:p>
        </w:tc>
        <w:tc>
          <w:tcPr>
            <w:tcW w:w="27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Lin Song</w:t>
            </w:r>
          </w:p>
        </w:tc>
      </w:tr>
      <w:tr>
        <w:trPr>
          <w:trHeight w:val="191"/>
        </w:trPr>
        <w:tc>
          <w:tcPr>
            <w:tcW w:w="3620" w:type="dxa"/>
            <w:vAlign w:val="bottom"/>
          </w:tcPr>
          <w:p>
            <w:pPr>
              <w:spacing w:after="0"/>
              <w:rPr>
                <w:sz w:val="16"/>
                <w:szCs w:val="16"/>
                <w:color w:val="auto"/>
              </w:rPr>
            </w:pPr>
          </w:p>
        </w:tc>
        <w:tc>
          <w:tcPr>
            <w:tcW w:w="2740" w:type="dxa"/>
            <w:vAlign w:val="bottom"/>
          </w:tcPr>
          <w:p>
            <w:pPr>
              <w:ind w:left="20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Lin Song</w:t>
            </w:r>
          </w:p>
        </w:tc>
      </w:tr>
      <w:tr>
        <w:trPr>
          <w:trHeight w:val="234"/>
        </w:trPr>
        <w:tc>
          <w:tcPr>
            <w:tcW w:w="3620" w:type="dxa"/>
            <w:vAlign w:val="bottom"/>
          </w:tcPr>
          <w:p>
            <w:pPr>
              <w:spacing w:after="0"/>
              <w:rPr>
                <w:sz w:val="20"/>
                <w:szCs w:val="20"/>
                <w:color w:val="auto"/>
              </w:rPr>
            </w:pPr>
          </w:p>
        </w:tc>
        <w:tc>
          <w:tcPr>
            <w:tcW w:w="27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979"/>
        </w:trPr>
        <w:tc>
          <w:tcPr>
            <w:tcW w:w="362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4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89"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each of Lin Song and Frode Jacobsen as his true and lawful attorney-in-fact with full power of substitution and re-substitution, for and in such person’s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such attorney-in-fact full power and authority to do and perform each and every act and thing requisite and necessary to be done as fully to all intents and purposes as he might or could do in person, hereby ratifying and confirming all that such attorney-in-fact may lawfully do or cause to be done by virtue hereof.</w:t>
      </w:r>
    </w:p>
    <w:p>
      <w:pPr>
        <w:spacing w:after="0" w:line="16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42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20" w:type="dxa"/>
            <w:vAlign w:val="bottom"/>
          </w:tcPr>
          <w:p>
            <w:pPr>
              <w:spacing w:after="0"/>
              <w:rPr>
                <w:sz w:val="20"/>
                <w:szCs w:val="20"/>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20"/>
        </w:trPr>
        <w:tc>
          <w:tcPr>
            <w:tcW w:w="4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r>
      <w:tr>
        <w:trPr>
          <w:trHeight w:val="426"/>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Yahui Zhou</w:t>
            </w:r>
          </w:p>
        </w:tc>
        <w:tc>
          <w:tcPr>
            <w:tcW w:w="4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Executive Chairman of the Board</w:t>
            </w:r>
          </w:p>
        </w:tc>
        <w:tc>
          <w:tcPr>
            <w:tcW w:w="220" w:type="dxa"/>
            <w:vAlign w:val="bottom"/>
          </w:tcPr>
          <w:p>
            <w:pPr>
              <w:spacing w:after="0"/>
              <w:rPr>
                <w:sz w:val="24"/>
                <w:szCs w:val="24"/>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January 9, 2026</w:t>
            </w:r>
          </w:p>
        </w:tc>
      </w:tr>
      <w:tr>
        <w:trPr>
          <w:trHeight w:val="228"/>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Name: James Yahui Zhou</w:t>
            </w:r>
          </w:p>
        </w:tc>
        <w:tc>
          <w:tcPr>
            <w:tcW w:w="2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414"/>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Frode Jacobsen</w:t>
            </w:r>
          </w:p>
        </w:tc>
        <w:tc>
          <w:tcPr>
            <w:tcW w:w="4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Chief Financial Officer</w:t>
            </w:r>
          </w:p>
        </w:tc>
        <w:tc>
          <w:tcPr>
            <w:tcW w:w="220" w:type="dxa"/>
            <w:vAlign w:val="bottom"/>
          </w:tcPr>
          <w:p>
            <w:pPr>
              <w:spacing w:after="0"/>
              <w:rPr>
                <w:sz w:val="24"/>
                <w:szCs w:val="24"/>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January 9, 2026</w:t>
            </w:r>
          </w:p>
        </w:tc>
      </w:tr>
      <w:tr>
        <w:trPr>
          <w:trHeight w:val="228"/>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Name: Frode Jacobsen</w:t>
            </w:r>
          </w:p>
        </w:tc>
        <w:tc>
          <w:tcPr>
            <w:tcW w:w="4280" w:type="dxa"/>
            <w:vAlign w:val="bottom"/>
            <w:gridSpan w:val="2"/>
          </w:tcPr>
          <w:p>
            <w:pPr>
              <w:ind w:left="26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c>
          <w:tcPr>
            <w:tcW w:w="22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414"/>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Lin Song</w:t>
            </w:r>
          </w:p>
        </w:tc>
        <w:tc>
          <w:tcPr>
            <w:tcW w:w="4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Director and Chief Executive Officer</w:t>
            </w:r>
          </w:p>
        </w:tc>
        <w:tc>
          <w:tcPr>
            <w:tcW w:w="220" w:type="dxa"/>
            <w:vAlign w:val="bottom"/>
          </w:tcPr>
          <w:p>
            <w:pPr>
              <w:spacing w:after="0"/>
              <w:rPr>
                <w:sz w:val="24"/>
                <w:szCs w:val="24"/>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January 9, 2026</w:t>
            </w:r>
          </w:p>
        </w:tc>
      </w:tr>
      <w:tr>
        <w:trPr>
          <w:trHeight w:val="228"/>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Name: Lin Song</w:t>
            </w:r>
          </w:p>
        </w:tc>
        <w:tc>
          <w:tcPr>
            <w:tcW w:w="4280" w:type="dxa"/>
            <w:vAlign w:val="bottom"/>
            <w:gridSpan w:val="2"/>
          </w:tcPr>
          <w:p>
            <w:pPr>
              <w:ind w:left="2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22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414"/>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Xiaoling Qian</w:t>
            </w:r>
          </w:p>
        </w:tc>
        <w:tc>
          <w:tcPr>
            <w:tcW w:w="4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January 9, 2026</w:t>
            </w:r>
          </w:p>
        </w:tc>
      </w:tr>
      <w:tr>
        <w:trPr>
          <w:trHeight w:val="228"/>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Name: Xiaoling Qian</w:t>
            </w:r>
          </w:p>
        </w:tc>
        <w:tc>
          <w:tcPr>
            <w:tcW w:w="2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414"/>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Tian Jin</w:t>
            </w:r>
          </w:p>
        </w:tc>
        <w:tc>
          <w:tcPr>
            <w:tcW w:w="4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January 9, 2026</w:t>
            </w:r>
          </w:p>
        </w:tc>
      </w:tr>
      <w:tr>
        <w:trPr>
          <w:trHeight w:val="228"/>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Name: Tian Jin</w:t>
            </w:r>
          </w:p>
        </w:tc>
        <w:tc>
          <w:tcPr>
            <w:tcW w:w="2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414"/>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Lori Wheeler Næss</w:t>
            </w:r>
          </w:p>
        </w:tc>
        <w:tc>
          <w:tcPr>
            <w:tcW w:w="4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Independent Director</w:t>
            </w:r>
          </w:p>
        </w:tc>
        <w:tc>
          <w:tcPr>
            <w:tcW w:w="220" w:type="dxa"/>
            <w:vAlign w:val="bottom"/>
          </w:tcPr>
          <w:p>
            <w:pPr>
              <w:spacing w:after="0"/>
              <w:rPr>
                <w:sz w:val="24"/>
                <w:szCs w:val="24"/>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January 9, 2026</w:t>
            </w:r>
          </w:p>
        </w:tc>
      </w:tr>
      <w:tr>
        <w:trPr>
          <w:trHeight w:val="228"/>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Name: Lori Wheeler Næss</w:t>
            </w:r>
          </w:p>
        </w:tc>
        <w:tc>
          <w:tcPr>
            <w:tcW w:w="2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414"/>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Trond Riiber Knudsen</w:t>
            </w:r>
          </w:p>
        </w:tc>
        <w:tc>
          <w:tcPr>
            <w:tcW w:w="4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Independent Director</w:t>
            </w:r>
          </w:p>
        </w:tc>
        <w:tc>
          <w:tcPr>
            <w:tcW w:w="220" w:type="dxa"/>
            <w:vAlign w:val="bottom"/>
          </w:tcPr>
          <w:p>
            <w:pPr>
              <w:spacing w:after="0"/>
              <w:rPr>
                <w:sz w:val="24"/>
                <w:szCs w:val="24"/>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January 9, 2026</w:t>
            </w:r>
          </w:p>
        </w:tc>
      </w:tr>
      <w:tr>
        <w:trPr>
          <w:trHeight w:val="228"/>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Name: Trond Riiber Knudsen</w:t>
            </w:r>
          </w:p>
        </w:tc>
        <w:tc>
          <w:tcPr>
            <w:tcW w:w="2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414"/>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Liu</w:t>
            </w:r>
          </w:p>
        </w:tc>
        <w:tc>
          <w:tcPr>
            <w:tcW w:w="4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Independent Director</w:t>
            </w:r>
          </w:p>
        </w:tc>
        <w:tc>
          <w:tcPr>
            <w:tcW w:w="220" w:type="dxa"/>
            <w:vAlign w:val="bottom"/>
          </w:tcPr>
          <w:p>
            <w:pPr>
              <w:spacing w:after="0"/>
              <w:rPr>
                <w:sz w:val="24"/>
                <w:szCs w:val="24"/>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January 9, 2026</w:t>
            </w:r>
          </w:p>
        </w:tc>
      </w:tr>
      <w:tr>
        <w:trPr>
          <w:trHeight w:val="228"/>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Name: James Liu</w:t>
            </w:r>
          </w:p>
        </w:tc>
        <w:tc>
          <w:tcPr>
            <w:tcW w:w="2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961"/>
        </w:trPr>
        <w:tc>
          <w:tcPr>
            <w:tcW w:w="4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 w:name="page6"/>
    <w:bookmarkEnd w:id="5"/>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 OF AUTHORIZED REPRESENTATIVE OF THE REGISTRANT</w:t>
      </w:r>
    </w:p>
    <w:p>
      <w:pPr>
        <w:spacing w:after="0" w:line="189"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Pursuant to the Securities Act of 1933, the undersigned, the duly authorized representative in the United States of Opera Limited, has signed this Registration Statement or amendment thereto in New York, on January 9, 2026.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Authorized U.S. Representative</w:t>
            </w:r>
          </w:p>
        </w:tc>
      </w:tr>
      <w:tr>
        <w:trPr>
          <w:trHeight w:val="234"/>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Cogency Global Inc.</w:t>
            </w: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9, 2026</w:t>
            </w:r>
          </w:p>
        </w:tc>
        <w:tc>
          <w:tcPr>
            <w:tcW w:w="27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Colleen A. De Vries</w:t>
            </w:r>
          </w:p>
        </w:tc>
      </w:tr>
      <w:tr>
        <w:trPr>
          <w:trHeight w:val="191"/>
        </w:trPr>
        <w:tc>
          <w:tcPr>
            <w:tcW w:w="3620" w:type="dxa"/>
            <w:vAlign w:val="bottom"/>
          </w:tcPr>
          <w:p>
            <w:pPr>
              <w:spacing w:after="0"/>
              <w:rPr>
                <w:sz w:val="16"/>
                <w:szCs w:val="16"/>
                <w:color w:val="auto"/>
              </w:rPr>
            </w:pPr>
          </w:p>
        </w:tc>
        <w:tc>
          <w:tcPr>
            <w:tcW w:w="2740" w:type="dxa"/>
            <w:vAlign w:val="bottom"/>
          </w:tcPr>
          <w:p>
            <w:pPr>
              <w:ind w:left="20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Colleen A. De Vries</w:t>
            </w:r>
          </w:p>
        </w:tc>
      </w:tr>
      <w:tr>
        <w:trPr>
          <w:trHeight w:val="234"/>
        </w:trPr>
        <w:tc>
          <w:tcPr>
            <w:tcW w:w="3620" w:type="dxa"/>
            <w:vAlign w:val="bottom"/>
          </w:tcPr>
          <w:p>
            <w:pPr>
              <w:spacing w:after="0"/>
              <w:rPr>
                <w:sz w:val="20"/>
                <w:szCs w:val="20"/>
                <w:color w:val="auto"/>
              </w:rPr>
            </w:pPr>
          </w:p>
        </w:tc>
        <w:tc>
          <w:tcPr>
            <w:tcW w:w="27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on behalf of Cogency Global Inc.</w:t>
            </w:r>
          </w:p>
        </w:tc>
      </w:tr>
      <w:tr>
        <w:trPr>
          <w:trHeight w:val="979"/>
        </w:trPr>
        <w:tc>
          <w:tcPr>
            <w:tcW w:w="362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4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309, Ugland House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 Cayman, KY1-1104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 January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 and/or Madams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 Limited</w:t>
      </w:r>
    </w:p>
    <w:p>
      <w:pPr>
        <w:spacing w:after="0" w:line="225"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We have acted as Cayman Islands legal counsel to Opera Limited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a registration statement on Form S-8 to be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on or around 9 January 2026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which term does not include any other document or agreement whether or not specifically referred to therein or attached as an exhibit or schedule thereto) relating to the registration under the United States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of 3,000,000 ordinary shares, par value US$0.0002 per share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issuable by the Company pursuant to the Second Amended and Restated Share Incentive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adopted on 10 December 2025.</w:t>
      </w:r>
    </w:p>
    <w:p>
      <w:pPr>
        <w:spacing w:after="0" w:line="18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For the purposes of giving this opinion, we have examined copies of the Registration Statement and the Plan. We have also reviewed copies of the second amended and restated memorandum and articles of association of the Company as adopted by a special resolution passed on 13 July 2018 and effective immediately upon the completion of the Company's initial public offering of the American depositary shares representing the Shares (the "</w:t>
      </w:r>
      <w:r>
        <w:rPr>
          <w:rFonts w:ascii="Times New Roman" w:cs="Times New Roman" w:eastAsia="Times New Roman" w:hAnsi="Times New Roman"/>
          <w:sz w:val="18"/>
          <w:szCs w:val="18"/>
          <w:b w:val="1"/>
          <w:bCs w:val="1"/>
          <w:color w:val="auto"/>
        </w:rPr>
        <w:t>Memorandum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and Articles</w:t>
      </w:r>
      <w:r>
        <w:rPr>
          <w:rFonts w:ascii="Times New Roman" w:cs="Times New Roman" w:eastAsia="Times New Roman" w:hAnsi="Times New Roman"/>
          <w:sz w:val="18"/>
          <w:szCs w:val="18"/>
          <w:color w:val="auto"/>
        </w:rPr>
        <w:t>"), and the written board resolutions of the Company passed on 9 January 2026 (together, the "</w:t>
      </w:r>
      <w:r>
        <w:rPr>
          <w:rFonts w:ascii="Times New Roman" w:cs="Times New Roman" w:eastAsia="Times New Roman" w:hAnsi="Times New Roman"/>
          <w:sz w:val="18"/>
          <w:szCs w:val="18"/>
          <w:b w:val="1"/>
          <w:bCs w:val="1"/>
          <w:color w:val="auto"/>
        </w:rPr>
        <w:t>Resolutions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Based upon, and subject to, the assumptions and qualifications set out below, and having regard to such legal considerations as we deem relevant, we are of the opinion that:</w:t>
      </w:r>
    </w:p>
    <w:p>
      <w:pPr>
        <w:spacing w:after="0" w:line="121"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to be issued by the Company and registered under the Registration Statement have been duly and validly authorised.</w:t>
      </w:r>
    </w:p>
    <w:p>
      <w:pPr>
        <w:spacing w:after="0" w:line="198"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issued, sold and paid for in accordance with the terms of the Plan and in accordance with the Resolutions, and when appropriate entries are made in the register of members (shareholders) of the Company, the Shares will be validly issued, fully paid and non assessable.</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this opinion letter, the phrase "non-assessable" means, with respect to the issuance of Shares, that a shareholder shall not, in respect of the relevant Shares and in the absence of a contractual arrangement, or an obligation pursuant to the memorandum and articles of association, to the contrary, have any obligation to make further contributions to the Company's assets (except in exceptional circumstances, such as involving fraud, the establishment of an agency relationship or an illegal or improper purpose or other circumstances in which a court may be prepared to pierce or lift the corporate veil).</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These opinions are subject to the qualification that under the Companies Act (As Revised) of the Cayman Islands, the register of members of a Cayman Islands company is by statute regarded as prima facie evidence of any matters which the Companies Act (As Revised) directs or authorises to be inserted therein. A third party interest in the shares in question would not appear. An entry in the register of members may yield to a court order for rectification (for example, in the event of fraud or manifest error).</w:t>
      </w:r>
    </w:p>
    <w:p>
      <w:pPr>
        <w:spacing w:after="0" w:line="180"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These opinions are given only as to, and based on, circumstances and matters of fact existing and known to us on the date of this opinion letter. These opinions only relate to the laws of the Cayman Islands which are in force on the date of this opinion letter. We express no opinion as to the meaning, validity or effect of any references to foreign (i.e. non-Cayman Islands) statutes, rules, regulations, codes, judicial authority or any other promulgations.</w:t>
      </w:r>
    </w:p>
    <w:p>
      <w:pPr>
        <w:spacing w:after="0" w:line="176"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We have also relied upon the assumptions, which we have not independently verified, that (a) all signatures, initials and seals are genuine, (b) copies of documents, conformed copies or drafts of documents provided to us are true and complete copies of, or in the final forms of, the originals, (c) where a document has been provided to us in draft or undated form, it will be duly executed, dated and unconditionally delivered in the same form as the last version provided to us, (d) the Memorandum and Articles remain in full force and effect and are unamended, (e) the Resolutions were duly passed in the manner prescribed in the Memorandum and Articles (including, without limitation, with respect to the disclosure of interests (if any) by directors of the Company) and have not been amended, varied or revoked in any respect, (f) there is nothing under any law (other than the laws of the Cayman Islands)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461645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 w:name="page8"/>
    <w:bookmarkEnd w:id="7"/>
    <w:p>
      <w:pPr>
        <w:ind w:right="60"/>
        <w:spacing w:after="0" w:line="266" w:lineRule="auto"/>
        <w:rPr>
          <w:sz w:val="20"/>
          <w:szCs w:val="20"/>
          <w:color w:val="auto"/>
        </w:rPr>
      </w:pPr>
      <w:r>
        <w:rPr>
          <w:rFonts w:ascii="Times New Roman" w:cs="Times New Roman" w:eastAsia="Times New Roman" w:hAnsi="Times New Roman"/>
          <w:sz w:val="18"/>
          <w:szCs w:val="18"/>
          <w:color w:val="auto"/>
        </w:rPr>
        <w:t>would or might affect the opinions set out above, (g) there is nothing contained in the minute book or corporate records of the Company (which we have not inspected) which would or might affect the opinions set out above, and (h) upon the issue of any Shares, the Company will receive consideration which shall be equal to at least the par value of such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opinion letter is to and for the benefit solely of the addressee and may not be relied upon by any other person for any purpose.</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consent to the use of this opinion as an exhibit to the Registration Statement and further consent to all references to us in the Registration Statement and any amendments thereto. In giving such consent, we do not consider that we are “experts” within the meaning of such term as used in the Securities Act, or the rules and regulations of the Commission issued thereunder, with respect to any part of the Registration Statement, including this opinion as an exhibit or otherwise.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Maples and Calder (Hong Kong)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consent to the use of our report dated April 10, 2025, with respect to the consolidated financial statements of Opera Limited, and the effectiveness of internal control over financial reporting, incorporated by reference 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Oslo, Norway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 Type)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Opera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1: Newly Registered Securities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Proposed</w:t>
            </w:r>
          </w:p>
        </w:tc>
        <w:tc>
          <w:tcPr>
            <w:tcW w:w="12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Maximum</w:t>
            </w:r>
          </w:p>
        </w:tc>
        <w:tc>
          <w:tcPr>
            <w:tcW w:w="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8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b w:val="1"/>
                <w:bCs w:val="1"/>
                <w:color w:val="auto"/>
              </w:rPr>
              <w:t>Security</w:t>
            </w:r>
          </w:p>
        </w:tc>
        <w:tc>
          <w:tcPr>
            <w:tcW w:w="60" w:type="dxa"/>
            <w:vAlign w:val="bottom"/>
          </w:tcPr>
          <w:p>
            <w:pPr>
              <w:spacing w:after="0"/>
              <w:rPr>
                <w:sz w:val="13"/>
                <w:szCs w:val="13"/>
                <w:color w:val="auto"/>
              </w:rPr>
            </w:pPr>
          </w:p>
        </w:tc>
        <w:tc>
          <w:tcPr>
            <w:tcW w:w="2420" w:type="dxa"/>
            <w:vAlign w:val="bottom"/>
            <w:vMerge w:val="restart"/>
          </w:tcPr>
          <w:p>
            <w:pPr>
              <w:ind w:left="480"/>
              <w:spacing w:after="0"/>
              <w:rPr>
                <w:sz w:val="20"/>
                <w:szCs w:val="20"/>
                <w:color w:val="auto"/>
              </w:rPr>
            </w:pPr>
            <w:r>
              <w:rPr>
                <w:rFonts w:ascii="Times New Roman" w:cs="Times New Roman" w:eastAsia="Times New Roman" w:hAnsi="Times New Roman"/>
                <w:sz w:val="15"/>
                <w:szCs w:val="15"/>
                <w:b w:val="1"/>
                <w:bCs w:val="1"/>
                <w:color w:val="auto"/>
              </w:rPr>
              <w:t xml:space="preserve">Security Class Title </w:t>
            </w:r>
            <w:r>
              <w:rPr>
                <w:rFonts w:ascii="Times New Roman" w:cs="Times New Roman" w:eastAsia="Times New Roman" w:hAnsi="Times New Roman"/>
                <w:sz w:val="20"/>
                <w:szCs w:val="20"/>
                <w:b w:val="1"/>
                <w:bCs w:val="1"/>
                <w:color w:val="auto"/>
                <w:vertAlign w:val="superscript"/>
              </w:rPr>
              <w:t>(1)</w:t>
            </w:r>
          </w:p>
        </w:tc>
        <w:tc>
          <w:tcPr>
            <w:tcW w:w="40" w:type="dxa"/>
            <w:vAlign w:val="bottom"/>
          </w:tcPr>
          <w:p>
            <w:pPr>
              <w:spacing w:after="0"/>
              <w:rPr>
                <w:sz w:val="13"/>
                <w:szCs w:val="13"/>
                <w:color w:val="auto"/>
              </w:rPr>
            </w:pPr>
          </w:p>
        </w:tc>
        <w:tc>
          <w:tcPr>
            <w:tcW w:w="1220" w:type="dxa"/>
            <w:vAlign w:val="bottom"/>
          </w:tcPr>
          <w:p>
            <w:pPr>
              <w:jc w:val="center"/>
              <w:ind w:left="2"/>
              <w:spacing w:after="0" w:line="156" w:lineRule="exact"/>
              <w:rPr>
                <w:sz w:val="20"/>
                <w:szCs w:val="20"/>
                <w:color w:val="auto"/>
              </w:rPr>
            </w:pPr>
            <w:r>
              <w:rPr>
                <w:rFonts w:ascii="Times New Roman" w:cs="Times New Roman" w:eastAsia="Times New Roman" w:hAnsi="Times New Roman"/>
                <w:sz w:val="15"/>
                <w:szCs w:val="15"/>
                <w:b w:val="1"/>
                <w:bCs w:val="1"/>
                <w:color w:val="auto"/>
              </w:rPr>
              <w:t>Fee Calculation</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tcPr>
          <w:p>
            <w:pPr>
              <w:jc w:val="right"/>
              <w:ind w:right="242"/>
              <w:spacing w:after="0" w:line="156" w:lineRule="exact"/>
              <w:rPr>
                <w:sz w:val="20"/>
                <w:szCs w:val="20"/>
                <w:color w:val="auto"/>
              </w:rPr>
            </w:pPr>
            <w:r>
              <w:rPr>
                <w:rFonts w:ascii="Times New Roman" w:cs="Times New Roman" w:eastAsia="Times New Roman" w:hAnsi="Times New Roman"/>
                <w:sz w:val="15"/>
                <w:szCs w:val="15"/>
                <w:b w:val="1"/>
                <w:bCs w:val="1"/>
                <w:color w:val="auto"/>
              </w:rPr>
              <w:t>Amount</w:t>
            </w:r>
          </w:p>
        </w:tc>
        <w:tc>
          <w:tcPr>
            <w:tcW w:w="40" w:type="dxa"/>
            <w:vAlign w:val="bottom"/>
          </w:tcPr>
          <w:p>
            <w:pPr>
              <w:spacing w:after="0"/>
              <w:rPr>
                <w:sz w:val="13"/>
                <w:szCs w:val="13"/>
                <w:color w:val="auto"/>
              </w:rPr>
            </w:pPr>
          </w:p>
        </w:tc>
        <w:tc>
          <w:tcPr>
            <w:tcW w:w="132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b w:val="1"/>
                <w:bCs w:val="1"/>
                <w:color w:val="auto"/>
              </w:rPr>
              <w:t>Maximum Offering</w:t>
            </w:r>
          </w:p>
        </w:tc>
        <w:tc>
          <w:tcPr>
            <w:tcW w:w="120" w:type="dxa"/>
            <w:vAlign w:val="bottom"/>
          </w:tcPr>
          <w:p>
            <w:pPr>
              <w:spacing w:after="0"/>
              <w:rPr>
                <w:sz w:val="13"/>
                <w:szCs w:val="13"/>
                <w:color w:val="auto"/>
              </w:rPr>
            </w:pPr>
          </w:p>
        </w:tc>
        <w:tc>
          <w:tcPr>
            <w:tcW w:w="134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b w:val="1"/>
                <w:bCs w:val="1"/>
                <w:color w:val="auto"/>
              </w:rPr>
              <w:t>Aggregate Offering</w:t>
            </w:r>
          </w:p>
        </w:tc>
        <w:tc>
          <w:tcPr>
            <w:tcW w:w="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20" w:type="dxa"/>
            <w:vAlign w:val="bottom"/>
          </w:tcPr>
          <w:p>
            <w:pPr>
              <w:jc w:val="right"/>
              <w:ind w:right="262"/>
              <w:spacing w:after="0" w:line="156" w:lineRule="exact"/>
              <w:rPr>
                <w:sz w:val="20"/>
                <w:szCs w:val="20"/>
                <w:color w:val="auto"/>
              </w:rPr>
            </w:pPr>
            <w:r>
              <w:rPr>
                <w:rFonts w:ascii="Times New Roman" w:cs="Times New Roman" w:eastAsia="Times New Roman" w:hAnsi="Times New Roman"/>
                <w:sz w:val="15"/>
                <w:szCs w:val="15"/>
                <w:b w:val="1"/>
                <w:bCs w:val="1"/>
                <w:color w:val="auto"/>
              </w:rPr>
              <w:t>Amount of</w:t>
            </w:r>
          </w:p>
        </w:tc>
        <w:tc>
          <w:tcPr>
            <w:tcW w:w="0" w:type="dxa"/>
            <w:vAlign w:val="bottom"/>
          </w:tcPr>
          <w:p>
            <w:pPr>
              <w:spacing w:after="0"/>
              <w:rPr>
                <w:sz w:val="1"/>
                <w:szCs w:val="1"/>
                <w:color w:val="auto"/>
              </w:rPr>
            </w:pPr>
          </w:p>
        </w:tc>
      </w:tr>
      <w:tr>
        <w:trPr>
          <w:trHeight w:val="189"/>
        </w:trPr>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Type</w:t>
            </w:r>
          </w:p>
        </w:tc>
        <w:tc>
          <w:tcPr>
            <w:tcW w:w="60" w:type="dxa"/>
            <w:vAlign w:val="bottom"/>
          </w:tcPr>
          <w:p>
            <w:pPr>
              <w:spacing w:after="0"/>
              <w:rPr>
                <w:sz w:val="16"/>
                <w:szCs w:val="16"/>
                <w:color w:val="auto"/>
              </w:rPr>
            </w:pPr>
          </w:p>
        </w:tc>
        <w:tc>
          <w:tcPr>
            <w:tcW w:w="2420" w:type="dxa"/>
            <w:vAlign w:val="bottom"/>
            <w:tcBorders>
              <w:bottom w:val="single" w:sz="8" w:color="auto"/>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Borders>
              <w:bottom w:val="single" w:sz="8" w:color="auto"/>
            </w:tcBorders>
          </w:tcPr>
          <w:p>
            <w:pPr>
              <w:jc w:val="center"/>
              <w:ind w:left="42"/>
              <w:spacing w:after="0"/>
              <w:rPr>
                <w:sz w:val="20"/>
                <w:szCs w:val="20"/>
                <w:color w:val="auto"/>
              </w:rPr>
            </w:pPr>
            <w:r>
              <w:rPr>
                <w:rFonts w:ascii="Times New Roman" w:cs="Times New Roman" w:eastAsia="Times New Roman" w:hAnsi="Times New Roman"/>
                <w:sz w:val="15"/>
                <w:szCs w:val="15"/>
                <w:b w:val="1"/>
                <w:bCs w:val="1"/>
                <w:color w:val="auto"/>
                <w:w w:val="99"/>
              </w:rPr>
              <w:t>Rule</w:t>
            </w:r>
          </w:p>
        </w:tc>
        <w:tc>
          <w:tcPr>
            <w:tcW w:w="1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tcBorders>
              <w:bottom w:val="single" w:sz="8" w:color="auto"/>
            </w:tcBorders>
          </w:tcPr>
          <w:p>
            <w:pPr>
              <w:jc w:val="right"/>
              <w:ind w:right="62"/>
              <w:spacing w:after="0" w:line="189" w:lineRule="exact"/>
              <w:rPr>
                <w:sz w:val="20"/>
                <w:szCs w:val="20"/>
                <w:color w:val="auto"/>
              </w:rPr>
            </w:pPr>
            <w:r>
              <w:rPr>
                <w:rFonts w:ascii="Times New Roman" w:cs="Times New Roman" w:eastAsia="Times New Roman" w:hAnsi="Times New Roman"/>
                <w:sz w:val="15"/>
                <w:szCs w:val="15"/>
                <w:b w:val="1"/>
                <w:bCs w:val="1"/>
                <w:color w:val="auto"/>
              </w:rPr>
              <w:t xml:space="preserve">Registered </w:t>
            </w:r>
            <w:r>
              <w:rPr>
                <w:rFonts w:ascii="Times New Roman" w:cs="Times New Roman" w:eastAsia="Times New Roman" w:hAnsi="Times New Roman"/>
                <w:sz w:val="20"/>
                <w:szCs w:val="20"/>
                <w:b w:val="1"/>
                <w:bCs w:val="1"/>
                <w:color w:val="auto"/>
                <w:vertAlign w:val="superscript"/>
              </w:rPr>
              <w:t>(2)</w:t>
            </w:r>
          </w:p>
        </w:tc>
        <w:tc>
          <w:tcPr>
            <w:tcW w:w="40" w:type="dxa"/>
            <w:vAlign w:val="bottom"/>
          </w:tcPr>
          <w:p>
            <w:pPr>
              <w:spacing w:after="0"/>
              <w:rPr>
                <w:sz w:val="16"/>
                <w:szCs w:val="16"/>
                <w:color w:val="auto"/>
              </w:rPr>
            </w:pPr>
          </w:p>
        </w:tc>
        <w:tc>
          <w:tcPr>
            <w:tcW w:w="132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5"/>
                <w:szCs w:val="15"/>
                <w:b w:val="1"/>
                <w:bCs w:val="1"/>
                <w:color w:val="auto"/>
                <w:w w:val="99"/>
              </w:rPr>
              <w:t xml:space="preserve">Price Per Unit </w:t>
            </w:r>
            <w:r>
              <w:rPr>
                <w:rFonts w:ascii="Times New Roman" w:cs="Times New Roman" w:eastAsia="Times New Roman" w:hAnsi="Times New Roman"/>
                <w:sz w:val="20"/>
                <w:szCs w:val="20"/>
                <w:b w:val="1"/>
                <w:bCs w:val="1"/>
                <w:color w:val="auto"/>
                <w:w w:val="99"/>
                <w:vertAlign w:val="superscript"/>
              </w:rPr>
              <w:t>(4)</w:t>
            </w:r>
          </w:p>
        </w:tc>
        <w:tc>
          <w:tcPr>
            <w:tcW w:w="120" w:type="dxa"/>
            <w:vAlign w:val="bottom"/>
          </w:tcPr>
          <w:p>
            <w:pPr>
              <w:spacing w:after="0"/>
              <w:rPr>
                <w:sz w:val="16"/>
                <w:szCs w:val="16"/>
                <w:color w:val="auto"/>
              </w:rPr>
            </w:pPr>
          </w:p>
        </w:tc>
        <w:tc>
          <w:tcPr>
            <w:tcW w:w="13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5"/>
                <w:szCs w:val="15"/>
                <w:b w:val="1"/>
                <w:bCs w:val="1"/>
                <w:color w:val="auto"/>
              </w:rPr>
              <w:t>Price</w:t>
            </w:r>
          </w:p>
        </w:tc>
        <w:tc>
          <w:tcPr>
            <w:tcW w:w="40" w:type="dxa"/>
            <w:vAlign w:val="bottom"/>
          </w:tcPr>
          <w:p>
            <w:pPr>
              <w:spacing w:after="0"/>
              <w:rPr>
                <w:sz w:val="16"/>
                <w:szCs w:val="16"/>
                <w:color w:val="auto"/>
              </w:rPr>
            </w:pPr>
          </w:p>
        </w:tc>
        <w:tc>
          <w:tcPr>
            <w:tcW w:w="132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5"/>
                <w:szCs w:val="15"/>
                <w:b w:val="1"/>
                <w:bCs w:val="1"/>
                <w:color w:val="auto"/>
              </w:rPr>
              <w:t>Fee Rate</w:t>
            </w:r>
          </w:p>
        </w:tc>
        <w:tc>
          <w:tcPr>
            <w:tcW w:w="40" w:type="dxa"/>
            <w:vAlign w:val="bottom"/>
          </w:tcPr>
          <w:p>
            <w:pPr>
              <w:spacing w:after="0"/>
              <w:rPr>
                <w:sz w:val="16"/>
                <w:szCs w:val="16"/>
                <w:color w:val="auto"/>
              </w:rPr>
            </w:pPr>
          </w:p>
        </w:tc>
        <w:tc>
          <w:tcPr>
            <w:tcW w:w="13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5"/>
                <w:szCs w:val="15"/>
                <w:b w:val="1"/>
                <w:bCs w:val="1"/>
                <w:color w:val="auto"/>
              </w:rPr>
              <w:t>Registration Fee</w:t>
            </w:r>
          </w:p>
        </w:tc>
        <w:tc>
          <w:tcPr>
            <w:tcW w:w="0" w:type="dxa"/>
            <w:vAlign w:val="bottom"/>
          </w:tcPr>
          <w:p>
            <w:pPr>
              <w:spacing w:after="0"/>
              <w:rPr>
                <w:sz w:val="1"/>
                <w:szCs w:val="1"/>
                <w:color w:val="auto"/>
              </w:rPr>
            </w:pPr>
          </w:p>
        </w:tc>
      </w:tr>
      <w:tr>
        <w:trPr>
          <w:trHeight w:val="182"/>
        </w:trPr>
        <w:tc>
          <w:tcPr>
            <w:tcW w:w="68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6"/>
                <w:szCs w:val="16"/>
                <w:color w:val="auto"/>
              </w:rPr>
              <w:t>Equity</w:t>
            </w:r>
          </w:p>
        </w:tc>
        <w:tc>
          <w:tcPr>
            <w:tcW w:w="60" w:type="dxa"/>
            <w:vAlign w:val="bottom"/>
            <w:shd w:val="clear" w:color="auto" w:fill="CFF0FC"/>
          </w:tcPr>
          <w:p>
            <w:pPr>
              <w:spacing w:after="0"/>
              <w:rPr>
                <w:sz w:val="15"/>
                <w:szCs w:val="15"/>
                <w:color w:val="auto"/>
              </w:rPr>
            </w:pPr>
          </w:p>
        </w:tc>
        <w:tc>
          <w:tcPr>
            <w:tcW w:w="24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6"/>
                <w:szCs w:val="16"/>
                <w:color w:val="auto"/>
              </w:rPr>
              <w:t>Ordinary shares, par value $0.0002</w:t>
            </w:r>
          </w:p>
        </w:tc>
        <w:tc>
          <w:tcPr>
            <w:tcW w:w="1260" w:type="dxa"/>
            <w:vAlign w:val="bottom"/>
            <w:gridSpan w:val="2"/>
            <w:shd w:val="clear" w:color="auto" w:fill="CFF0FC"/>
          </w:tcPr>
          <w:p>
            <w:pPr>
              <w:ind w:left="40"/>
              <w:spacing w:after="0" w:line="182" w:lineRule="exact"/>
              <w:rPr>
                <w:sz w:val="20"/>
                <w:szCs w:val="20"/>
                <w:color w:val="auto"/>
              </w:rPr>
            </w:pPr>
            <w:r>
              <w:rPr>
                <w:rFonts w:ascii="Times New Roman" w:cs="Times New Roman" w:eastAsia="Times New Roman" w:hAnsi="Times New Roman"/>
                <w:sz w:val="16"/>
                <w:szCs w:val="16"/>
                <w:color w:val="auto"/>
              </w:rPr>
              <w:t>457(c) and 457(h)</w:t>
            </w:r>
          </w:p>
        </w:tc>
        <w:tc>
          <w:tcPr>
            <w:tcW w:w="1280" w:type="dxa"/>
            <w:vAlign w:val="bottom"/>
            <w:gridSpan w:val="3"/>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 xml:space="preserve">3,000,000 </w:t>
            </w:r>
            <w:r>
              <w:rPr>
                <w:rFonts w:ascii="Times New Roman" w:cs="Times New Roman" w:eastAsia="Times New Roman" w:hAnsi="Times New Roman"/>
                <w:sz w:val="21"/>
                <w:szCs w:val="21"/>
                <w:color w:val="auto"/>
                <w:vertAlign w:val="superscript"/>
              </w:rPr>
              <w:t>(3)</w:t>
            </w:r>
          </w:p>
        </w:tc>
        <w:tc>
          <w:tcPr>
            <w:tcW w:w="1360" w:type="dxa"/>
            <w:vAlign w:val="bottom"/>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6"/>
                <w:szCs w:val="16"/>
                <w:color w:val="auto"/>
              </w:rPr>
              <w:t>$14.53</w:t>
            </w:r>
          </w:p>
        </w:tc>
        <w:tc>
          <w:tcPr>
            <w:tcW w:w="1460" w:type="dxa"/>
            <w:vAlign w:val="bottom"/>
            <w:gridSpan w:val="2"/>
            <w:shd w:val="clear" w:color="auto" w:fill="CFF0FC"/>
          </w:tcPr>
          <w:p>
            <w:pPr>
              <w:ind w:left="640"/>
              <w:spacing w:after="0" w:line="182" w:lineRule="exact"/>
              <w:rPr>
                <w:sz w:val="20"/>
                <w:szCs w:val="20"/>
                <w:color w:val="auto"/>
              </w:rPr>
            </w:pPr>
            <w:r>
              <w:rPr>
                <w:rFonts w:ascii="Times New Roman" w:cs="Times New Roman" w:eastAsia="Times New Roman" w:hAnsi="Times New Roman"/>
                <w:sz w:val="16"/>
                <w:szCs w:val="16"/>
                <w:color w:val="auto"/>
                <w:w w:val="99"/>
              </w:rPr>
              <w:t>$43,590,000</w:t>
            </w:r>
          </w:p>
        </w:tc>
        <w:tc>
          <w:tcPr>
            <w:tcW w:w="1360" w:type="dxa"/>
            <w:vAlign w:val="bottom"/>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6"/>
                <w:szCs w:val="16"/>
                <w:color w:val="auto"/>
              </w:rPr>
              <w:t>0.0001381</w:t>
            </w:r>
          </w:p>
        </w:tc>
        <w:tc>
          <w:tcPr>
            <w:tcW w:w="1360" w:type="dxa"/>
            <w:vAlign w:val="bottom"/>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6"/>
                <w:szCs w:val="16"/>
                <w:color w:val="auto"/>
              </w:rPr>
              <w:t>$6,019.78</w:t>
            </w:r>
          </w:p>
        </w:tc>
        <w:tc>
          <w:tcPr>
            <w:tcW w:w="0" w:type="dxa"/>
            <w:vAlign w:val="bottom"/>
          </w:tcPr>
          <w:p>
            <w:pPr>
              <w:spacing w:after="0"/>
              <w:rPr>
                <w:sz w:val="1"/>
                <w:szCs w:val="1"/>
                <w:color w:val="auto"/>
              </w:rPr>
            </w:pPr>
          </w:p>
        </w:tc>
      </w:tr>
      <w:tr>
        <w:trPr>
          <w:trHeight w:val="216"/>
        </w:trPr>
        <w:tc>
          <w:tcPr>
            <w:tcW w:w="6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per share</w:t>
            </w:r>
          </w:p>
        </w:tc>
        <w:tc>
          <w:tcPr>
            <w:tcW w:w="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0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Total Offering Amounts:</w:t>
            </w:r>
          </w:p>
        </w:tc>
        <w:tc>
          <w:tcPr>
            <w:tcW w:w="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6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w w:val="99"/>
              </w:rPr>
              <w:t>$43,590,000</w:t>
            </w:r>
          </w:p>
        </w:tc>
        <w:tc>
          <w:tcPr>
            <w:tcW w:w="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$6,019.78</w:t>
            </w:r>
          </w:p>
        </w:tc>
        <w:tc>
          <w:tcPr>
            <w:tcW w:w="0" w:type="dxa"/>
            <w:vAlign w:val="bottom"/>
          </w:tcPr>
          <w:p>
            <w:pPr>
              <w:spacing w:after="0"/>
              <w:rPr>
                <w:sz w:val="1"/>
                <w:szCs w:val="1"/>
                <w:color w:val="auto"/>
              </w:rPr>
            </w:pPr>
          </w:p>
        </w:tc>
      </w:tr>
      <w:tr>
        <w:trPr>
          <w:trHeight w:val="203"/>
        </w:trPr>
        <w:tc>
          <w:tcPr>
            <w:tcW w:w="6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Total Fee Offsets:</w:t>
            </w:r>
          </w:p>
        </w:tc>
        <w:tc>
          <w:tcPr>
            <w:tcW w:w="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Net Fee Due:</w:t>
            </w: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$6,019.78</w:t>
            </w:r>
          </w:p>
        </w:tc>
        <w:tc>
          <w:tcPr>
            <w:tcW w:w="0" w:type="dxa"/>
            <w:vAlign w:val="bottom"/>
          </w:tcPr>
          <w:p>
            <w:pPr>
              <w:spacing w:after="0"/>
              <w:rPr>
                <w:sz w:val="1"/>
                <w:szCs w:val="1"/>
                <w:color w:val="auto"/>
              </w:rPr>
            </w:pPr>
          </w:p>
        </w:tc>
      </w:tr>
    </w:tbl>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68" w:lineRule="exact"/>
        <w:rPr>
          <w:sz w:val="20"/>
          <w:szCs w:val="20"/>
          <w:color w:val="auto"/>
        </w:rPr>
      </w:pPr>
    </w:p>
    <w:p>
      <w:pPr>
        <w:ind w:left="380" w:right="100" w:hanging="372"/>
        <w:spacing w:after="0" w:line="281" w:lineRule="auto"/>
        <w:tabs>
          <w:tab w:leader="none" w:pos="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securities to be registered hereby may be represented by American depositary shares (“ADSs”) of Opera Limited (the “Registrant”). Each ADS represents one ordinary shares, par value of US$0.0002 per share, of the Registrant (the “Ordinary Shares”). The Registrant’s ADSs issuable upon deposit of the securities registered hereby have been registered under a separate registration statement on Form F-6 (Registration No. 333-226171).</w:t>
      </w:r>
    </w:p>
    <w:p>
      <w:pPr>
        <w:spacing w:after="0" w:line="69" w:lineRule="exact"/>
        <w:rPr>
          <w:rFonts w:ascii="Times New Roman" w:cs="Times New Roman" w:eastAsia="Times New Roman" w:hAnsi="Times New Roman"/>
          <w:sz w:val="16"/>
          <w:szCs w:val="16"/>
          <w:color w:val="auto"/>
        </w:rPr>
      </w:pPr>
    </w:p>
    <w:p>
      <w:pPr>
        <w:ind w:left="380" w:right="20" w:hanging="372"/>
        <w:spacing w:after="0" w:line="281" w:lineRule="auto"/>
        <w:tabs>
          <w:tab w:leader="none" w:pos="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addition, pursuant to Rule 416(c) under the Securities Act of 1933, as amended (the “Securities Act”), this registration statement on Form S-8 (this “Registration Statement”) also covers an indeterminate number of additional securities which may be offered and issued under the Registrant’s Second Amended and Restated Share Incentive Plan (the “Share Incentive Plan”) to prevent dilution from stock splits, stock dividends or similar transactions as provided in the Share Incentive Plan.</w:t>
      </w:r>
    </w:p>
    <w:p>
      <w:pPr>
        <w:spacing w:after="0" w:line="69" w:lineRule="exact"/>
        <w:rPr>
          <w:rFonts w:ascii="Times New Roman" w:cs="Times New Roman" w:eastAsia="Times New Roman" w:hAnsi="Times New Roman"/>
          <w:sz w:val="16"/>
          <w:szCs w:val="16"/>
          <w:color w:val="auto"/>
        </w:rPr>
      </w:pPr>
    </w:p>
    <w:p>
      <w:pPr>
        <w:ind w:left="380" w:right="240" w:hanging="372"/>
        <w:spacing w:after="0" w:line="298" w:lineRule="auto"/>
        <w:tabs>
          <w:tab w:leader="none" w:pos="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to be registered represents the Ordinary Shares issuable upon exercise of outstanding options or restricted share units granted under the Share Incentive Plan.</w:t>
      </w:r>
    </w:p>
    <w:p>
      <w:pPr>
        <w:spacing w:after="0" w:line="56" w:lineRule="exact"/>
        <w:rPr>
          <w:rFonts w:ascii="Times New Roman" w:cs="Times New Roman" w:eastAsia="Times New Roman" w:hAnsi="Times New Roman"/>
          <w:sz w:val="16"/>
          <w:szCs w:val="16"/>
          <w:color w:val="auto"/>
        </w:rPr>
      </w:pPr>
    </w:p>
    <w:p>
      <w:pPr>
        <w:ind w:left="380" w:right="20" w:hanging="372"/>
        <w:spacing w:after="0" w:line="281" w:lineRule="auto"/>
        <w:tabs>
          <w:tab w:leader="none" w:pos="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proposed maximum offering price per share, which is estimated solely for the purposes of calculating the registration fee under Rule 457(h) and Rule 457(c) under the Securities Act, is based on the average of the high and low prices for the Registrant’s ADSs as quoted on the Nasdaq Global Select Market on January 5, 2026, which is within five business days prior to the date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451485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1"/>
    </w:lvl>
  </w:abstractNum>
  <w:abstractNum w:abstractNumId="1">
    <w:nsid w:val="19495CFF"/>
    <w:multiLevelType w:val="hybridMultilevel"/>
    <w:lvl w:ilvl="0">
      <w:lvlJc w:val="left"/>
      <w:lvlText w:val="%1"/>
      <w:numFmt w:val="decimal"/>
      <w:start w:val="107"/>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7"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14" Type="http://schemas.openxmlformats.org/officeDocument/2006/relationships/hyperlink" Target="https://www.sec.gov/Archives/edgar/data/1737450/000114420419002042/tv511188_s8.htm" TargetMode="External"/><Relationship Id="rId15" Type="http://schemas.openxmlformats.org/officeDocument/2006/relationships/hyperlink" Target="https://www.sec.gov/ix?doc=/Archives/edgar/data/1737450/000095017025052668/opra-20241231.htm" TargetMode="External"/><Relationship Id="rId16" Type="http://schemas.openxmlformats.org/officeDocument/2006/relationships/hyperlink" Target="https://www.sec.gov/Archives/edgar/data/1737450/000114420418038365/tv498527_8a12b.htm" TargetMode="External"/><Relationship Id="rId18" Type="http://schemas.openxmlformats.org/officeDocument/2006/relationships/hyperlink" Target="https://www.sec.gov/Archives/edgar/data/1737450/000157104918000397/tv497809_ex3-2.htm" TargetMode="External"/><Relationship Id="rId19" Type="http://schemas.openxmlformats.org/officeDocument/2006/relationships/hyperlink" Target="https://www.sec.gov/Archives/edgar/data/1737450/000114420418036749/tv496863_ex4-2.htm" TargetMode="External"/><Relationship Id="rId20" Type="http://schemas.openxmlformats.org/officeDocument/2006/relationships/hyperlink" Target="https://www.sec.gov/Archives/edgar/data/1737450/000114420418040034/tv499078_ex4-3.htm" TargetMode="External"/><Relationship Id="rId21" Type="http://schemas.openxmlformats.org/officeDocument/2006/relationships/hyperlink" Target="https://www.sec.gov/Archives/edgar/data/1745849/000101915524000333/opera424.htm" TargetMode="External"/><Relationship Id="rId22" Type="http://schemas.openxmlformats.org/officeDocument/2006/relationships/hyperlink" Target="https://www.sec.gov/Archives/edgar/data/1737450/000119312525315024/opra-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2026-01-09T06:28:20Z</dcterms:created>
  <dcterms:modified xsi:type="dcterms:W3CDTF">2026-01-09T06:28:20Z</dcterms:modified>
</cp:coreProperties>
</file>