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9"/>
        <w:spacing w:after="0"/>
        <w:rPr>
          <w:sz w:val="20"/>
          <w:szCs w:val="20"/>
          <w:color w:val="auto"/>
        </w:rPr>
      </w:pPr>
      <w:r>
        <w:rPr>
          <w:rFonts w:ascii="Arial" w:cs="Arial" w:eastAsia="Arial" w:hAnsi="Arial"/>
          <w:sz w:val="14"/>
          <w:szCs w:val="14"/>
          <w:color w:val="auto"/>
        </w:rPr>
        <w:drawing>
          <wp:anchor simplePos="0" relativeHeight="251657728" behindDoc="1" locked="0" layoutInCell="0" allowOverlap="1">
            <wp:simplePos x="0" y="0"/>
            <wp:positionH relativeFrom="page">
              <wp:posOffset>2953385</wp:posOffset>
            </wp:positionH>
            <wp:positionV relativeFrom="page">
              <wp:posOffset>311785</wp:posOffset>
            </wp:positionV>
            <wp:extent cx="1697990" cy="146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1697990" cy="146050"/>
                    </a:xfrm>
                    <a:prstGeom prst="rect">
                      <a:avLst/>
                    </a:prstGeom>
                    <a:noFill/>
                  </pic:spPr>
                </pic:pic>
              </a:graphicData>
            </a:graphic>
          </wp:anchor>
        </w:drawing>
        <w:t>26th Floor, Gloucester Tower</w:t>
      </w:r>
    </w:p>
    <w:p>
      <w:pPr>
        <w:jc w:val="center"/>
        <w:ind w:right="-19"/>
        <w:spacing w:after="0" w:line="221" w:lineRule="auto"/>
        <w:rPr>
          <w:sz w:val="20"/>
          <w:szCs w:val="20"/>
          <w:color w:val="auto"/>
        </w:rPr>
      </w:pPr>
      <w:r>
        <w:rPr>
          <w:rFonts w:ascii="Arial" w:cs="Arial" w:eastAsia="Arial" w:hAnsi="Arial"/>
          <w:sz w:val="14"/>
          <w:szCs w:val="14"/>
          <w:color w:val="auto"/>
        </w:rPr>
        <w:t>The Landmark</w:t>
      </w:r>
    </w:p>
    <w:p>
      <w:pPr>
        <w:jc w:val="center"/>
        <w:ind w:right="-19"/>
        <w:spacing w:after="0" w:line="221" w:lineRule="auto"/>
        <w:rPr>
          <w:sz w:val="20"/>
          <w:szCs w:val="20"/>
          <w:color w:val="auto"/>
        </w:rPr>
      </w:pPr>
      <w:r>
        <w:rPr>
          <w:rFonts w:ascii="Arial" w:cs="Arial" w:eastAsia="Arial" w:hAnsi="Arial"/>
          <w:sz w:val="14"/>
          <w:szCs w:val="14"/>
          <w:color w:val="auto"/>
        </w:rPr>
        <w:t>15 Queen’s Road Central</w:t>
      </w:r>
    </w:p>
    <w:p>
      <w:pPr>
        <w:spacing w:after="0" w:line="1" w:lineRule="exact"/>
        <w:rPr>
          <w:sz w:val="24"/>
          <w:szCs w:val="24"/>
          <w:color w:val="auto"/>
        </w:rPr>
      </w:pPr>
    </w:p>
    <w:p>
      <w:pPr>
        <w:jc w:val="center"/>
        <w:ind w:right="-19"/>
        <w:spacing w:after="0"/>
        <w:rPr>
          <w:sz w:val="20"/>
          <w:szCs w:val="20"/>
          <w:color w:val="auto"/>
        </w:rPr>
      </w:pPr>
      <w:r>
        <w:rPr>
          <w:rFonts w:ascii="Arial" w:cs="Arial" w:eastAsia="Arial" w:hAnsi="Arial"/>
          <w:sz w:val="14"/>
          <w:szCs w:val="14"/>
          <w:color w:val="auto"/>
        </w:rPr>
        <w:t>Hong Kong</w:t>
      </w:r>
    </w:p>
    <w:p>
      <w:pPr>
        <w:spacing w:after="0" w:line="112" w:lineRule="exact"/>
        <w:rPr>
          <w:sz w:val="24"/>
          <w:szCs w:val="24"/>
          <w:color w:val="auto"/>
        </w:rPr>
      </w:pPr>
    </w:p>
    <w:tbl>
      <w:tblPr>
        <w:tblLayout w:type="fixed"/>
        <w:tblInd w:w="4920" w:type="dxa"/>
        <w:tblCellMar>
          <w:top w:w="0" w:type="dxa"/>
          <w:left w:w="0" w:type="dxa"/>
          <w:bottom w:w="0" w:type="dxa"/>
          <w:right w:w="0" w:type="dxa"/>
        </w:tblCellMar>
      </w:tblPr>
      <w:tr>
        <w:trPr>
          <w:trHeight w:val="161"/>
        </w:trPr>
        <w:tc>
          <w:tcPr>
            <w:tcW w:w="2800" w:type="dxa"/>
            <w:vAlign w:val="bottom"/>
          </w:tcPr>
          <w:p>
            <w:pPr>
              <w:jc w:val="center"/>
              <w:ind w:right="1128"/>
              <w:spacing w:after="0"/>
              <w:rPr>
                <w:sz w:val="20"/>
                <w:szCs w:val="20"/>
                <w:color w:val="auto"/>
              </w:rPr>
            </w:pPr>
            <w:r>
              <w:rPr>
                <w:rFonts w:ascii="Arial" w:cs="Arial" w:eastAsia="Arial" w:hAnsi="Arial"/>
                <w:sz w:val="14"/>
                <w:szCs w:val="14"/>
                <w:color w:val="auto"/>
                <w:w w:val="91"/>
              </w:rPr>
              <w:t>Telephone: +852 3761 3300</w:t>
            </w:r>
          </w:p>
        </w:tc>
        <w:tc>
          <w:tcPr>
            <w:tcW w:w="2780" w:type="dxa"/>
            <w:vAlign w:val="bottom"/>
          </w:tcPr>
          <w:p>
            <w:pPr>
              <w:spacing w:after="0"/>
              <w:rPr>
                <w:sz w:val="14"/>
                <w:szCs w:val="14"/>
                <w:color w:val="auto"/>
              </w:rPr>
            </w:pPr>
          </w:p>
        </w:tc>
      </w:tr>
      <w:tr>
        <w:trPr>
          <w:trHeight w:val="149"/>
        </w:trPr>
        <w:tc>
          <w:tcPr>
            <w:tcW w:w="2800" w:type="dxa"/>
            <w:vAlign w:val="bottom"/>
          </w:tcPr>
          <w:p>
            <w:pPr>
              <w:jc w:val="center"/>
              <w:ind w:right="1108"/>
              <w:spacing w:after="0" w:line="149" w:lineRule="exact"/>
              <w:rPr>
                <w:sz w:val="20"/>
                <w:szCs w:val="20"/>
                <w:color w:val="auto"/>
              </w:rPr>
            </w:pPr>
            <w:r>
              <w:rPr>
                <w:rFonts w:ascii="Arial" w:cs="Arial" w:eastAsia="Arial" w:hAnsi="Arial"/>
                <w:sz w:val="14"/>
                <w:szCs w:val="14"/>
                <w:color w:val="auto"/>
                <w:w w:val="93"/>
              </w:rPr>
              <w:t>Facsimile: +852 3761 3301</w:t>
            </w:r>
          </w:p>
        </w:tc>
        <w:tc>
          <w:tcPr>
            <w:tcW w:w="2780" w:type="dxa"/>
            <w:vAlign w:val="bottom"/>
          </w:tcPr>
          <w:p>
            <w:pPr>
              <w:jc w:val="center"/>
              <w:ind w:left="1128"/>
              <w:spacing w:after="0" w:line="149" w:lineRule="exact"/>
              <w:rPr>
                <w:sz w:val="20"/>
                <w:szCs w:val="20"/>
                <w:color w:val="auto"/>
              </w:rPr>
            </w:pPr>
            <w:r>
              <w:rPr>
                <w:rFonts w:ascii="Arial" w:cs="Arial" w:eastAsia="Arial" w:hAnsi="Arial"/>
                <w:sz w:val="14"/>
                <w:szCs w:val="14"/>
                <w:color w:val="auto"/>
                <w:w w:val="93"/>
              </w:rPr>
              <w:t>David Zhang</w:t>
            </w:r>
          </w:p>
        </w:tc>
      </w:tr>
      <w:tr>
        <w:trPr>
          <w:trHeight w:val="149"/>
        </w:trPr>
        <w:tc>
          <w:tcPr>
            <w:tcW w:w="2800" w:type="dxa"/>
            <w:vAlign w:val="bottom"/>
          </w:tcPr>
          <w:p>
            <w:pPr>
              <w:spacing w:after="0"/>
              <w:rPr>
                <w:sz w:val="12"/>
                <w:szCs w:val="12"/>
                <w:color w:val="auto"/>
              </w:rPr>
            </w:pPr>
          </w:p>
        </w:tc>
        <w:tc>
          <w:tcPr>
            <w:tcW w:w="2780" w:type="dxa"/>
            <w:vAlign w:val="bottom"/>
          </w:tcPr>
          <w:p>
            <w:pPr>
              <w:jc w:val="center"/>
              <w:ind w:left="1128"/>
              <w:spacing w:after="0" w:line="149" w:lineRule="exact"/>
              <w:rPr>
                <w:sz w:val="20"/>
                <w:szCs w:val="20"/>
                <w:color w:val="auto"/>
              </w:rPr>
            </w:pPr>
            <w:r>
              <w:rPr>
                <w:rFonts w:ascii="Arial" w:cs="Arial" w:eastAsia="Arial" w:hAnsi="Arial"/>
                <w:sz w:val="14"/>
                <w:szCs w:val="14"/>
                <w:color w:val="auto"/>
                <w:w w:val="92"/>
              </w:rPr>
              <w:t>+852 3761 3318</w:t>
            </w:r>
          </w:p>
        </w:tc>
      </w:tr>
      <w:tr>
        <w:trPr>
          <w:trHeight w:val="182"/>
        </w:trPr>
        <w:tc>
          <w:tcPr>
            <w:tcW w:w="2800" w:type="dxa"/>
            <w:vAlign w:val="bottom"/>
          </w:tcPr>
          <w:p>
            <w:pPr>
              <w:jc w:val="center"/>
              <w:ind w:right="1128"/>
              <w:spacing w:after="0"/>
              <w:rPr>
                <w:sz w:val="20"/>
                <w:szCs w:val="20"/>
                <w:color w:val="auto"/>
              </w:rPr>
            </w:pPr>
            <w:r>
              <w:rPr>
                <w:rFonts w:ascii="Arial" w:cs="Arial" w:eastAsia="Arial" w:hAnsi="Arial"/>
                <w:sz w:val="14"/>
                <w:szCs w:val="14"/>
                <w:color w:val="auto"/>
                <w:w w:val="99"/>
              </w:rPr>
              <w:t>www.kirkland.com</w:t>
            </w:r>
          </w:p>
        </w:tc>
        <w:tc>
          <w:tcPr>
            <w:tcW w:w="2780" w:type="dxa"/>
            <w:vAlign w:val="bottom"/>
          </w:tcPr>
          <w:p>
            <w:pPr>
              <w:jc w:val="center"/>
              <w:ind w:left="1128"/>
              <w:spacing w:after="0"/>
              <w:rPr>
                <w:sz w:val="20"/>
                <w:szCs w:val="20"/>
                <w:color w:val="auto"/>
              </w:rPr>
            </w:pPr>
            <w:r>
              <w:rPr>
                <w:rFonts w:ascii="Arial" w:cs="Arial" w:eastAsia="Arial" w:hAnsi="Arial"/>
                <w:sz w:val="14"/>
                <w:szCs w:val="14"/>
                <w:color w:val="auto"/>
                <w:w w:val="93"/>
              </w:rPr>
              <w:t>david.zhang@kirkland.com</w:t>
            </w:r>
          </w:p>
        </w:tc>
      </w:tr>
    </w:tbl>
    <w:p>
      <w:pPr>
        <w:spacing w:after="0" w:line="187" w:lineRule="exact"/>
        <w:rPr>
          <w:sz w:val="24"/>
          <w:szCs w:val="24"/>
          <w:color w:val="auto"/>
        </w:rPr>
      </w:pPr>
    </w:p>
    <w:p>
      <w:pPr>
        <w:jc w:val="center"/>
        <w:spacing w:after="0"/>
        <w:rPr>
          <w:sz w:val="20"/>
          <w:szCs w:val="20"/>
          <w:color w:val="auto"/>
        </w:rPr>
      </w:pPr>
      <w:r>
        <w:rPr>
          <w:rFonts w:ascii="Arial" w:cs="Arial" w:eastAsia="Arial" w:hAnsi="Arial"/>
          <w:sz w:val="18"/>
          <w:szCs w:val="18"/>
          <w:color w:val="auto"/>
        </w:rPr>
        <w:t>May 8, 2018</w:t>
      </w:r>
    </w:p>
    <w:p>
      <w:pPr>
        <w:spacing w:after="0" w:line="225" w:lineRule="exact"/>
        <w:rPr>
          <w:sz w:val="24"/>
          <w:szCs w:val="24"/>
          <w:color w:val="auto"/>
        </w:rPr>
      </w:pPr>
    </w:p>
    <w:p>
      <w:pPr>
        <w:spacing w:after="0"/>
        <w:rPr>
          <w:sz w:val="20"/>
          <w:szCs w:val="20"/>
          <w:color w:val="auto"/>
        </w:rPr>
      </w:pPr>
      <w:r>
        <w:rPr>
          <w:rFonts w:ascii="Arial" w:cs="Arial" w:eastAsia="Arial" w:hAnsi="Arial"/>
          <w:sz w:val="18"/>
          <w:szCs w:val="18"/>
          <w:color w:val="auto"/>
        </w:rPr>
        <w:t>CONFIDENTIAL</w:t>
      </w:r>
    </w:p>
    <w:p>
      <w:pPr>
        <w:spacing w:after="0" w:line="225" w:lineRule="exact"/>
        <w:rPr>
          <w:sz w:val="24"/>
          <w:szCs w:val="24"/>
          <w:color w:val="auto"/>
        </w:rPr>
      </w:pPr>
    </w:p>
    <w:p>
      <w:pPr>
        <w:spacing w:after="0"/>
        <w:rPr>
          <w:sz w:val="20"/>
          <w:szCs w:val="20"/>
          <w:color w:val="auto"/>
        </w:rPr>
      </w:pPr>
      <w:r>
        <w:rPr>
          <w:rFonts w:ascii="Arial" w:cs="Arial" w:eastAsia="Arial" w:hAnsi="Arial"/>
          <w:sz w:val="18"/>
          <w:szCs w:val="18"/>
          <w:color w:val="auto"/>
        </w:rPr>
        <w:t>Draft Registration Statement</w:t>
      </w:r>
    </w:p>
    <w:p>
      <w:pPr>
        <w:spacing w:after="0" w:line="23" w:lineRule="exact"/>
        <w:rPr>
          <w:sz w:val="24"/>
          <w:szCs w:val="24"/>
          <w:color w:val="auto"/>
        </w:rPr>
      </w:pPr>
    </w:p>
    <w:p>
      <w:pPr>
        <w:spacing w:after="0"/>
        <w:rPr>
          <w:sz w:val="20"/>
          <w:szCs w:val="20"/>
          <w:color w:val="auto"/>
        </w:rPr>
      </w:pPr>
      <w:r>
        <w:rPr>
          <w:rFonts w:ascii="Arial" w:cs="Arial" w:eastAsia="Arial" w:hAnsi="Arial"/>
          <w:sz w:val="18"/>
          <w:szCs w:val="18"/>
          <w:color w:val="auto"/>
        </w:rPr>
        <w:t>Securities and Exchange Commission</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100 F Street, N.E.</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Washington, D.C. 20549</w:t>
      </w:r>
    </w:p>
    <w:p>
      <w:pPr>
        <w:spacing w:after="0" w:line="211" w:lineRule="exact"/>
        <w:rPr>
          <w:sz w:val="24"/>
          <w:szCs w:val="24"/>
          <w:color w:val="auto"/>
        </w:rPr>
      </w:pPr>
    </w:p>
    <w:tbl>
      <w:tblPr>
        <w:tblLayout w:type="fixed"/>
        <w:tblInd w:w="660" w:type="dxa"/>
        <w:tblCellMar>
          <w:top w:w="0" w:type="dxa"/>
          <w:left w:w="0" w:type="dxa"/>
          <w:bottom w:w="0" w:type="dxa"/>
          <w:right w:w="0" w:type="dxa"/>
        </w:tblCellMar>
      </w:tblPr>
      <w:tr>
        <w:trPr>
          <w:trHeight w:val="216"/>
        </w:trPr>
        <w:tc>
          <w:tcPr>
            <w:tcW w:w="640" w:type="dxa"/>
            <w:vAlign w:val="bottom"/>
          </w:tcPr>
          <w:p>
            <w:pPr>
              <w:spacing w:after="0"/>
              <w:rPr>
                <w:sz w:val="20"/>
                <w:szCs w:val="20"/>
                <w:color w:val="auto"/>
              </w:rPr>
            </w:pPr>
            <w:r>
              <w:rPr>
                <w:rFonts w:ascii="Arial" w:cs="Arial" w:eastAsia="Arial" w:hAnsi="Arial"/>
                <w:sz w:val="18"/>
                <w:szCs w:val="18"/>
                <w:color w:val="auto"/>
              </w:rPr>
              <w:t>Re:</w:t>
            </w:r>
          </w:p>
        </w:tc>
        <w:tc>
          <w:tcPr>
            <w:tcW w:w="5060" w:type="dxa"/>
            <w:vAlign w:val="bottom"/>
          </w:tcPr>
          <w:p>
            <w:pPr>
              <w:spacing w:after="0"/>
              <w:rPr>
                <w:sz w:val="20"/>
                <w:szCs w:val="20"/>
                <w:color w:val="auto"/>
              </w:rPr>
            </w:pPr>
            <w:r>
              <w:rPr>
                <w:rFonts w:ascii="Arial" w:cs="Arial" w:eastAsia="Arial" w:hAnsi="Arial"/>
                <w:sz w:val="18"/>
                <w:szCs w:val="18"/>
                <w:color w:val="auto"/>
              </w:rPr>
              <w:t>Opera Limited</w:t>
            </w:r>
          </w:p>
        </w:tc>
      </w:tr>
      <w:tr>
        <w:trPr>
          <w:trHeight w:val="190"/>
        </w:trPr>
        <w:tc>
          <w:tcPr>
            <w:tcW w:w="640" w:type="dxa"/>
            <w:vAlign w:val="bottom"/>
          </w:tcPr>
          <w:p>
            <w:pPr>
              <w:spacing w:after="0"/>
              <w:rPr>
                <w:sz w:val="16"/>
                <w:szCs w:val="16"/>
                <w:color w:val="auto"/>
              </w:rPr>
            </w:pPr>
          </w:p>
        </w:tc>
        <w:tc>
          <w:tcPr>
            <w:tcW w:w="5060" w:type="dxa"/>
            <w:vAlign w:val="bottom"/>
            <w:tcBorders>
              <w:bottom w:val="single" w:sz="8" w:color="auto"/>
            </w:tcBorders>
          </w:tcPr>
          <w:p>
            <w:pPr>
              <w:spacing w:after="0" w:line="190" w:lineRule="exact"/>
              <w:rPr>
                <w:sz w:val="20"/>
                <w:szCs w:val="20"/>
                <w:color w:val="auto"/>
              </w:rPr>
            </w:pPr>
            <w:r>
              <w:rPr>
                <w:rFonts w:ascii="Arial" w:cs="Arial" w:eastAsia="Arial" w:hAnsi="Arial"/>
                <w:sz w:val="18"/>
                <w:szCs w:val="18"/>
                <w:color w:val="auto"/>
                <w:w w:val="91"/>
              </w:rPr>
              <w:t>Confidential Submission of Draft Registration Statement on Form F-1</w:t>
            </w:r>
          </w:p>
        </w:tc>
      </w:tr>
    </w:tbl>
    <w:p>
      <w:pPr>
        <w:spacing w:after="0" w:line="229" w:lineRule="exact"/>
        <w:rPr>
          <w:sz w:val="24"/>
          <w:szCs w:val="24"/>
          <w:color w:val="auto"/>
        </w:rPr>
      </w:pPr>
    </w:p>
    <w:p>
      <w:pPr>
        <w:spacing w:after="0"/>
        <w:rPr>
          <w:sz w:val="20"/>
          <w:szCs w:val="20"/>
          <w:color w:val="auto"/>
        </w:rPr>
      </w:pPr>
      <w:r>
        <w:rPr>
          <w:rFonts w:ascii="Arial" w:cs="Arial" w:eastAsia="Arial" w:hAnsi="Arial"/>
          <w:sz w:val="18"/>
          <w:szCs w:val="18"/>
          <w:color w:val="auto"/>
        </w:rPr>
        <w:t>Dear Sir or Madam:</w:t>
      </w:r>
    </w:p>
    <w:p>
      <w:pPr>
        <w:spacing w:after="0" w:line="225" w:lineRule="exact"/>
        <w:rPr>
          <w:sz w:val="24"/>
          <w:szCs w:val="24"/>
          <w:color w:val="auto"/>
        </w:rPr>
      </w:pPr>
    </w:p>
    <w:p>
      <w:pPr>
        <w:jc w:val="both"/>
        <w:ind w:firstLine="648"/>
        <w:spacing w:after="0" w:line="255" w:lineRule="auto"/>
        <w:rPr>
          <w:sz w:val="20"/>
          <w:szCs w:val="20"/>
          <w:color w:val="auto"/>
        </w:rPr>
      </w:pPr>
      <w:r>
        <w:rPr>
          <w:rFonts w:ascii="Arial" w:cs="Arial" w:eastAsia="Arial" w:hAnsi="Arial"/>
          <w:sz w:val="18"/>
          <w:szCs w:val="18"/>
          <w:color w:val="auto"/>
        </w:rPr>
        <w:t>On behalf of our client, Opera Limited (the “</w:t>
      </w:r>
      <w:r>
        <w:rPr>
          <w:rFonts w:ascii="Arial" w:cs="Arial" w:eastAsia="Arial" w:hAnsi="Arial"/>
          <w:sz w:val="18"/>
          <w:szCs w:val="18"/>
          <w:b w:val="1"/>
          <w:bCs w:val="1"/>
          <w:i w:val="1"/>
          <w:iCs w:val="1"/>
          <w:color w:val="auto"/>
        </w:rPr>
        <w:t>Company</w:t>
      </w:r>
      <w:r>
        <w:rPr>
          <w:rFonts w:ascii="Arial" w:cs="Arial" w:eastAsia="Arial" w:hAnsi="Arial"/>
          <w:sz w:val="18"/>
          <w:szCs w:val="18"/>
          <w:color w:val="auto"/>
        </w:rPr>
        <w:t>”), a foreign private issuer incorporated under the laws of the Cayman Islands, we are submitting the Company’s draft Registration Statement on Form F-1 (the “</w:t>
      </w:r>
      <w:r>
        <w:rPr>
          <w:rFonts w:ascii="Arial" w:cs="Arial" w:eastAsia="Arial" w:hAnsi="Arial"/>
          <w:sz w:val="18"/>
          <w:szCs w:val="18"/>
          <w:b w:val="1"/>
          <w:bCs w:val="1"/>
          <w:i w:val="1"/>
          <w:iCs w:val="1"/>
          <w:color w:val="auto"/>
        </w:rPr>
        <w:t>Registration Statement</w:t>
      </w:r>
      <w:r>
        <w:rPr>
          <w:rFonts w:ascii="Arial" w:cs="Arial" w:eastAsia="Arial" w:hAnsi="Arial"/>
          <w:sz w:val="18"/>
          <w:szCs w:val="18"/>
          <w:color w:val="auto"/>
        </w:rPr>
        <w:t>”) relating to a proposed initial public offering in the United States of American Depositary Shares (“</w:t>
      </w:r>
      <w:r>
        <w:rPr>
          <w:rFonts w:ascii="Arial" w:cs="Arial" w:eastAsia="Arial" w:hAnsi="Arial"/>
          <w:sz w:val="18"/>
          <w:szCs w:val="18"/>
          <w:b w:val="1"/>
          <w:bCs w:val="1"/>
          <w:i w:val="1"/>
          <w:iCs w:val="1"/>
          <w:color w:val="auto"/>
        </w:rPr>
        <w:t>ADSs</w:t>
      </w:r>
      <w:r>
        <w:rPr>
          <w:rFonts w:ascii="Arial" w:cs="Arial" w:eastAsia="Arial" w:hAnsi="Arial"/>
          <w:sz w:val="18"/>
          <w:szCs w:val="18"/>
          <w:color w:val="auto"/>
        </w:rPr>
        <w:t>”), representing the Company’s ordinary shares, which have a par value of US$0.0001 per share. The ADSs are expected to be listed on the New York Stock Exchange or NASDAQ Global Select Market. Subject to market conditions and the resolution of the comments of the staff of the Commission (the “</w:t>
      </w:r>
      <w:r>
        <w:rPr>
          <w:rFonts w:ascii="Arial" w:cs="Arial" w:eastAsia="Arial" w:hAnsi="Arial"/>
          <w:sz w:val="18"/>
          <w:szCs w:val="18"/>
          <w:b w:val="1"/>
          <w:bCs w:val="1"/>
          <w:i w:val="1"/>
          <w:iCs w:val="1"/>
          <w:color w:val="auto"/>
        </w:rPr>
        <w:t>Staff</w:t>
      </w:r>
      <w:r>
        <w:rPr>
          <w:rFonts w:ascii="Arial" w:cs="Arial" w:eastAsia="Arial" w:hAnsi="Arial"/>
          <w:sz w:val="18"/>
          <w:szCs w:val="18"/>
          <w:color w:val="auto"/>
        </w:rPr>
        <w:t>”) on the Registration Statement, the Company expects to file a preliminary prospectus with a price range and commence its marketing efforts in July 2018.</w:t>
      </w:r>
    </w:p>
    <w:p>
      <w:pPr>
        <w:spacing w:after="0" w:line="193" w:lineRule="exact"/>
        <w:rPr>
          <w:sz w:val="24"/>
          <w:szCs w:val="24"/>
          <w:color w:val="auto"/>
        </w:rPr>
      </w:pPr>
    </w:p>
    <w:p>
      <w:pPr>
        <w:jc w:val="both"/>
        <w:ind w:firstLine="648"/>
        <w:spacing w:after="0" w:line="276" w:lineRule="auto"/>
        <w:rPr>
          <w:sz w:val="20"/>
          <w:szCs w:val="20"/>
          <w:color w:val="auto"/>
        </w:rPr>
      </w:pPr>
      <w:r>
        <w:rPr>
          <w:rFonts w:ascii="Arial" w:cs="Arial" w:eastAsia="Arial" w:hAnsi="Arial"/>
          <w:sz w:val="17"/>
          <w:szCs w:val="17"/>
          <w:color w:val="auto"/>
        </w:rPr>
        <w:t>The Company respectfully advises that the Company was created for the purpose of the proposed initial public offering and will become the holding company of our group by way of an exchange of equity interests in which the existing members of Kunhoo Software LLC, a limited liability company incorporated under the laws of the Cayman Islands and current parent company of the proposed listing group, will exchange their interests in Kunhoo Software LLC for shares having substantially the same rights in the Company (the “</w:t>
      </w:r>
      <w:r>
        <w:rPr>
          <w:rFonts w:ascii="Arial" w:cs="Arial" w:eastAsia="Arial" w:hAnsi="Arial"/>
          <w:sz w:val="17"/>
          <w:szCs w:val="17"/>
          <w:b w:val="1"/>
          <w:bCs w:val="1"/>
          <w:i w:val="1"/>
          <w:iCs w:val="1"/>
          <w:color w:val="auto"/>
        </w:rPr>
        <w:t>Restructuring</w:t>
      </w:r>
      <w:r>
        <w:rPr>
          <w:rFonts w:ascii="Arial" w:cs="Arial" w:eastAsia="Arial" w:hAnsi="Arial"/>
          <w:sz w:val="17"/>
          <w:szCs w:val="17"/>
          <w:color w:val="auto"/>
        </w:rPr>
        <w:t>”). The Restructuring is expected to be completed prior to the public filing and the Registration Statement is being prepared on the assumption that the restructuring is complete.</w:t>
      </w:r>
    </w:p>
    <w:p>
      <w:pPr>
        <w:spacing w:after="0" w:line="173" w:lineRule="exact"/>
        <w:rPr>
          <w:sz w:val="24"/>
          <w:szCs w:val="24"/>
          <w:color w:val="auto"/>
        </w:rPr>
      </w:pPr>
    </w:p>
    <w:p>
      <w:pPr>
        <w:jc w:val="both"/>
        <w:ind w:firstLine="648"/>
        <w:spacing w:after="0" w:line="264" w:lineRule="auto"/>
        <w:rPr>
          <w:sz w:val="20"/>
          <w:szCs w:val="20"/>
          <w:color w:val="auto"/>
        </w:rPr>
      </w:pPr>
      <w:r>
        <w:rPr>
          <w:rFonts w:ascii="Arial" w:cs="Arial" w:eastAsia="Arial" w:hAnsi="Arial"/>
          <w:sz w:val="18"/>
          <w:szCs w:val="18"/>
          <w:color w:val="auto"/>
        </w:rPr>
        <w:t>The Company is an “emerging growth company,” as defined in Section 2(a) of the Securities Act of 1933, as amended. In accordance with the procedures of the Securities and Exchange Commission (the “</w:t>
      </w:r>
      <w:r>
        <w:rPr>
          <w:rFonts w:ascii="Arial" w:cs="Arial" w:eastAsia="Arial" w:hAnsi="Arial"/>
          <w:sz w:val="18"/>
          <w:szCs w:val="18"/>
          <w:b w:val="1"/>
          <w:bCs w:val="1"/>
          <w:i w:val="1"/>
          <w:iCs w:val="1"/>
          <w:color w:val="auto"/>
        </w:rPr>
        <w:t>Commission</w:t>
      </w:r>
      <w:r>
        <w:rPr>
          <w:rFonts w:ascii="Arial" w:cs="Arial" w:eastAsia="Arial" w:hAnsi="Arial"/>
          <w:sz w:val="18"/>
          <w:szCs w:val="18"/>
          <w:color w:val="auto"/>
        </w:rPr>
        <w:t>”) for emerging growth companies, the enclosed draft Registration Statement is being submitted to the Staff in draft form and for the Staff’s review on a confidential basis.</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7" w:lineRule="exact"/>
        <w:rPr>
          <w:sz w:val="24"/>
          <w:szCs w:val="24"/>
          <w:color w:val="auto"/>
        </w:rPr>
      </w:pPr>
    </w:p>
    <w:p>
      <w:pPr>
        <w:ind w:right="260"/>
        <w:spacing w:after="0" w:line="222" w:lineRule="auto"/>
        <w:rPr>
          <w:sz w:val="20"/>
          <w:szCs w:val="20"/>
          <w:color w:val="auto"/>
        </w:rPr>
      </w:pPr>
      <w:r>
        <w:rPr>
          <w:rFonts w:ascii="Arial" w:cs="Arial" w:eastAsia="Arial" w:hAnsi="Arial"/>
          <w:sz w:val="12"/>
          <w:szCs w:val="12"/>
          <w:b w:val="1"/>
          <w:bCs w:val="1"/>
          <w:color w:val="auto"/>
        </w:rPr>
        <w:t xml:space="preserve">PARTNERS: </w:t>
      </w:r>
      <w:r>
        <w:rPr>
          <w:rFonts w:ascii="Arial" w:cs="Arial" w:eastAsia="Arial" w:hAnsi="Arial"/>
          <w:sz w:val="12"/>
          <w:szCs w:val="12"/>
          <w:color w:val="auto"/>
        </w:rPr>
        <w:t>Pierre-Luc Arsenault</w:t>
      </w:r>
      <w:r>
        <w:rPr>
          <w:rFonts w:ascii="Arial" w:cs="Arial" w:eastAsia="Arial" w:hAnsi="Arial"/>
          <w:sz w:val="18"/>
          <w:szCs w:val="18"/>
          <w:color w:val="auto"/>
          <w:vertAlign w:val="superscript"/>
        </w:rPr>
        <w:t>3</w:t>
      </w:r>
      <w:r>
        <w:rPr>
          <w:rFonts w:ascii="Arial" w:cs="Arial" w:eastAsia="Arial" w:hAnsi="Arial"/>
          <w:sz w:val="12"/>
          <w:szCs w:val="12"/>
          <w:b w:val="1"/>
          <w:bCs w:val="1"/>
          <w:color w:val="auto"/>
        </w:rPr>
        <w:t xml:space="preserve"> </w:t>
      </w:r>
      <w:r>
        <w:rPr>
          <w:rFonts w:ascii="Arial" w:cs="Arial" w:eastAsia="Arial" w:hAnsi="Arial"/>
          <w:sz w:val="12"/>
          <w:szCs w:val="12"/>
          <w:color w:val="auto"/>
        </w:rPr>
        <w:t>| Lai Yi Chau | Justin M. Dolling</w:t>
      </w:r>
      <w:r>
        <w:rPr>
          <w:rFonts w:ascii="Arial" w:cs="Arial" w:eastAsia="Arial" w:hAnsi="Arial"/>
          <w:sz w:val="18"/>
          <w:szCs w:val="18"/>
          <w:color w:val="auto"/>
          <w:vertAlign w:val="superscript"/>
        </w:rPr>
        <w:t>6</w:t>
      </w:r>
      <w:r>
        <w:rPr>
          <w:rFonts w:ascii="Arial" w:cs="Arial" w:eastAsia="Arial" w:hAnsi="Arial"/>
          <w:sz w:val="12"/>
          <w:szCs w:val="12"/>
          <w:b w:val="1"/>
          <w:bCs w:val="1"/>
          <w:color w:val="auto"/>
        </w:rPr>
        <w:t xml:space="preserve"> </w:t>
      </w:r>
      <w:r>
        <w:rPr>
          <w:rFonts w:ascii="Arial" w:cs="Arial" w:eastAsia="Arial" w:hAnsi="Arial"/>
          <w:sz w:val="12"/>
          <w:szCs w:val="12"/>
          <w:color w:val="auto"/>
        </w:rPr>
        <w:t>| David Patrick Eich</w:t>
      </w:r>
      <w:r>
        <w:rPr>
          <w:rFonts w:ascii="Arial" w:cs="Arial" w:eastAsia="Arial" w:hAnsi="Arial"/>
          <w:sz w:val="18"/>
          <w:szCs w:val="18"/>
          <w:color w:val="auto"/>
          <w:vertAlign w:val="superscript"/>
        </w:rPr>
        <w:t>1,5,6</w:t>
      </w:r>
      <w:r>
        <w:rPr>
          <w:rFonts w:ascii="Arial" w:cs="Arial" w:eastAsia="Arial" w:hAnsi="Arial"/>
          <w:sz w:val="12"/>
          <w:szCs w:val="12"/>
          <w:b w:val="1"/>
          <w:bCs w:val="1"/>
          <w:color w:val="auto"/>
        </w:rPr>
        <w:t xml:space="preserve"> </w:t>
      </w:r>
      <w:r>
        <w:rPr>
          <w:rFonts w:ascii="Arial" w:cs="Arial" w:eastAsia="Arial" w:hAnsi="Arial"/>
          <w:sz w:val="12"/>
          <w:szCs w:val="12"/>
          <w:color w:val="auto"/>
        </w:rPr>
        <w:t>| Liu Gan</w:t>
      </w:r>
      <w:r>
        <w:rPr>
          <w:rFonts w:ascii="Arial" w:cs="Arial" w:eastAsia="Arial" w:hAnsi="Arial"/>
          <w:sz w:val="18"/>
          <w:szCs w:val="18"/>
          <w:color w:val="auto"/>
          <w:vertAlign w:val="superscript"/>
        </w:rPr>
        <w:t>2</w:t>
      </w:r>
      <w:r>
        <w:rPr>
          <w:rFonts w:ascii="Arial" w:cs="Arial" w:eastAsia="Arial" w:hAnsi="Arial"/>
          <w:sz w:val="12"/>
          <w:szCs w:val="12"/>
          <w:b w:val="1"/>
          <w:bCs w:val="1"/>
          <w:color w:val="auto"/>
        </w:rPr>
        <w:t xml:space="preserve"> </w:t>
      </w:r>
      <w:r>
        <w:rPr>
          <w:rFonts w:ascii="Arial" w:cs="Arial" w:eastAsia="Arial" w:hAnsi="Arial"/>
          <w:sz w:val="12"/>
          <w:szCs w:val="12"/>
          <w:color w:val="auto"/>
        </w:rPr>
        <w:t>| Damian C. Jacobs</w:t>
      </w:r>
      <w:r>
        <w:rPr>
          <w:rFonts w:ascii="Arial" w:cs="Arial" w:eastAsia="Arial" w:hAnsi="Arial"/>
          <w:sz w:val="18"/>
          <w:szCs w:val="18"/>
          <w:color w:val="auto"/>
          <w:vertAlign w:val="superscript"/>
        </w:rPr>
        <w:t>6</w:t>
      </w:r>
      <w:r>
        <w:rPr>
          <w:rFonts w:ascii="Arial" w:cs="Arial" w:eastAsia="Arial" w:hAnsi="Arial"/>
          <w:sz w:val="12"/>
          <w:szCs w:val="12"/>
          <w:b w:val="1"/>
          <w:bCs w:val="1"/>
          <w:color w:val="auto"/>
        </w:rPr>
        <w:t xml:space="preserve"> </w:t>
      </w:r>
      <w:r>
        <w:rPr>
          <w:rFonts w:ascii="Arial" w:cs="Arial" w:eastAsia="Arial" w:hAnsi="Arial"/>
          <w:sz w:val="12"/>
          <w:szCs w:val="12"/>
          <w:color w:val="auto"/>
        </w:rPr>
        <w:t>| Guang Li</w:t>
      </w:r>
      <w:r>
        <w:rPr>
          <w:rFonts w:ascii="Arial" w:cs="Arial" w:eastAsia="Arial" w:hAnsi="Arial"/>
          <w:sz w:val="18"/>
          <w:szCs w:val="18"/>
          <w:color w:val="auto"/>
          <w:vertAlign w:val="superscript"/>
        </w:rPr>
        <w:t>3</w:t>
      </w:r>
      <w:r>
        <w:rPr>
          <w:rFonts w:ascii="Arial" w:cs="Arial" w:eastAsia="Arial" w:hAnsi="Arial"/>
          <w:sz w:val="12"/>
          <w:szCs w:val="12"/>
          <w:b w:val="1"/>
          <w:bCs w:val="1"/>
          <w:color w:val="auto"/>
        </w:rPr>
        <w:t xml:space="preserve"> </w:t>
      </w:r>
      <w:r>
        <w:rPr>
          <w:rFonts w:ascii="Arial" w:cs="Arial" w:eastAsia="Arial" w:hAnsi="Arial"/>
          <w:sz w:val="12"/>
          <w:szCs w:val="12"/>
          <w:color w:val="auto"/>
        </w:rPr>
        <w:t>| Neil E.M. McDonald | Kelly Naphtali | Ram Narayan</w:t>
      </w:r>
      <w:r>
        <w:rPr>
          <w:rFonts w:ascii="Arial" w:cs="Arial" w:eastAsia="Arial" w:hAnsi="Arial"/>
          <w:sz w:val="18"/>
          <w:szCs w:val="18"/>
          <w:color w:val="auto"/>
          <w:vertAlign w:val="superscript"/>
        </w:rPr>
        <w:t>3</w:t>
      </w:r>
      <w:r>
        <w:rPr>
          <w:rFonts w:ascii="Arial" w:cs="Arial" w:eastAsia="Arial" w:hAnsi="Arial"/>
          <w:sz w:val="12"/>
          <w:szCs w:val="12"/>
          <w:b w:val="1"/>
          <w:bCs w:val="1"/>
          <w:color w:val="auto"/>
        </w:rPr>
        <w:t xml:space="preserve"> </w:t>
      </w:r>
      <w:r>
        <w:rPr>
          <w:rFonts w:ascii="Arial" w:cs="Arial" w:eastAsia="Arial" w:hAnsi="Arial"/>
          <w:sz w:val="12"/>
          <w:szCs w:val="12"/>
          <w:color w:val="auto"/>
        </w:rPr>
        <w:t>| Nicholas A. Norris</w:t>
      </w:r>
      <w:r>
        <w:rPr>
          <w:rFonts w:ascii="Arial" w:cs="Arial" w:eastAsia="Arial" w:hAnsi="Arial"/>
          <w:sz w:val="18"/>
          <w:szCs w:val="18"/>
          <w:color w:val="auto"/>
          <w:vertAlign w:val="superscript"/>
        </w:rPr>
        <w:t>6</w:t>
      </w:r>
      <w:r>
        <w:rPr>
          <w:rFonts w:ascii="Arial" w:cs="Arial" w:eastAsia="Arial" w:hAnsi="Arial"/>
          <w:sz w:val="12"/>
          <w:szCs w:val="12"/>
          <w:b w:val="1"/>
          <w:bCs w:val="1"/>
          <w:color w:val="auto"/>
        </w:rPr>
        <w:t xml:space="preserve"> </w:t>
      </w:r>
      <w:r>
        <w:rPr>
          <w:rFonts w:ascii="Arial" w:cs="Arial" w:eastAsia="Arial" w:hAnsi="Arial"/>
          <w:sz w:val="12"/>
          <w:szCs w:val="12"/>
          <w:color w:val="auto"/>
        </w:rPr>
        <w:t>|</w:t>
      </w:r>
      <w:r>
        <w:rPr>
          <w:rFonts w:ascii="Arial" w:cs="Arial" w:eastAsia="Arial" w:hAnsi="Arial"/>
          <w:sz w:val="12"/>
          <w:szCs w:val="12"/>
          <w:b w:val="1"/>
          <w:bCs w:val="1"/>
          <w:color w:val="auto"/>
        </w:rPr>
        <w:t xml:space="preserve"> </w:t>
      </w:r>
      <w:r>
        <w:rPr>
          <w:rFonts w:ascii="Arial" w:cs="Arial" w:eastAsia="Arial" w:hAnsi="Arial"/>
          <w:sz w:val="12"/>
          <w:szCs w:val="12"/>
          <w:color w:val="auto"/>
        </w:rPr>
        <w:t>Derek K.W. Poon</w:t>
      </w:r>
      <w:r>
        <w:rPr>
          <w:rFonts w:ascii="Arial" w:cs="Arial" w:eastAsia="Arial" w:hAnsi="Arial"/>
          <w:sz w:val="18"/>
          <w:szCs w:val="18"/>
          <w:color w:val="auto"/>
          <w:vertAlign w:val="superscript"/>
        </w:rPr>
        <w:t>3,6</w:t>
      </w:r>
      <w:r>
        <w:rPr>
          <w:rFonts w:ascii="Arial" w:cs="Arial" w:eastAsia="Arial" w:hAnsi="Arial"/>
          <w:sz w:val="12"/>
          <w:szCs w:val="12"/>
          <w:color w:val="auto"/>
        </w:rPr>
        <w:t xml:space="preserve"> | Paul S. Quinn | Richard C.C. Sharpe | Jesse D. Sheley</w:t>
      </w:r>
      <w:r>
        <w:rPr>
          <w:rFonts w:ascii="Arial" w:cs="Arial" w:eastAsia="Arial" w:hAnsi="Arial"/>
          <w:sz w:val="18"/>
          <w:szCs w:val="18"/>
          <w:color w:val="auto"/>
          <w:vertAlign w:val="superscript"/>
        </w:rPr>
        <w:t>#</w:t>
      </w:r>
      <w:r>
        <w:rPr>
          <w:rFonts w:ascii="Arial" w:cs="Arial" w:eastAsia="Arial" w:hAnsi="Arial"/>
          <w:sz w:val="12"/>
          <w:szCs w:val="12"/>
          <w:color w:val="auto"/>
        </w:rPr>
        <w:t xml:space="preserve"> | Arthur K.H. Tso | Susan S.X. Wang | Li Chien Wong | Wanda T.K. Woo | Judy W.C. Yam | David Yun</w:t>
      </w:r>
      <w:r>
        <w:rPr>
          <w:rFonts w:ascii="Arial" w:cs="Arial" w:eastAsia="Arial" w:hAnsi="Arial"/>
          <w:sz w:val="18"/>
          <w:szCs w:val="18"/>
          <w:color w:val="auto"/>
          <w:vertAlign w:val="superscript"/>
        </w:rPr>
        <w:t>6</w:t>
      </w:r>
      <w:r>
        <w:rPr>
          <w:rFonts w:ascii="Arial" w:cs="Arial" w:eastAsia="Arial" w:hAnsi="Arial"/>
          <w:sz w:val="12"/>
          <w:szCs w:val="12"/>
          <w:color w:val="auto"/>
        </w:rPr>
        <w:t xml:space="preserve"> | Jacqueline B.N. Zheng</w:t>
      </w:r>
      <w:r>
        <w:rPr>
          <w:rFonts w:ascii="Arial" w:cs="Arial" w:eastAsia="Arial" w:hAnsi="Arial"/>
          <w:sz w:val="18"/>
          <w:szCs w:val="18"/>
          <w:color w:val="auto"/>
          <w:vertAlign w:val="superscript"/>
        </w:rPr>
        <w:t>3,6</w:t>
      </w:r>
      <w:r>
        <w:rPr>
          <w:rFonts w:ascii="Arial" w:cs="Arial" w:eastAsia="Arial" w:hAnsi="Arial"/>
          <w:sz w:val="12"/>
          <w:szCs w:val="12"/>
          <w:color w:val="auto"/>
        </w:rPr>
        <w:t xml:space="preserve"> </w:t>
      </w:r>
      <w:r>
        <w:rPr>
          <w:rFonts w:ascii="Arial" w:cs="Arial" w:eastAsia="Arial" w:hAnsi="Arial"/>
          <w:sz w:val="12"/>
          <w:szCs w:val="12"/>
          <w:b w:val="1"/>
          <w:bCs w:val="1"/>
          <w:color w:val="auto"/>
        </w:rPr>
        <w:t xml:space="preserve">REGISTERED FOREIGN LAWYERS: </w:t>
      </w:r>
      <w:r>
        <w:rPr>
          <w:rFonts w:ascii="Arial" w:cs="Arial" w:eastAsia="Arial" w:hAnsi="Arial"/>
          <w:sz w:val="12"/>
          <w:szCs w:val="12"/>
          <w:color w:val="auto"/>
        </w:rPr>
        <w:t>Daniel J. Abercromby</w:t>
      </w:r>
      <w:r>
        <w:rPr>
          <w:rFonts w:ascii="Arial" w:cs="Arial" w:eastAsia="Arial" w:hAnsi="Arial"/>
          <w:sz w:val="18"/>
          <w:szCs w:val="18"/>
          <w:color w:val="auto"/>
          <w:vertAlign w:val="superscript"/>
        </w:rPr>
        <w:t>6</w:t>
      </w:r>
      <w:r>
        <w:rPr>
          <w:rFonts w:ascii="Arial" w:cs="Arial" w:eastAsia="Arial" w:hAnsi="Arial"/>
          <w:sz w:val="12"/>
          <w:szCs w:val="12"/>
          <w:b w:val="1"/>
          <w:bCs w:val="1"/>
          <w:color w:val="auto"/>
        </w:rPr>
        <w:t xml:space="preserve"> </w:t>
      </w:r>
      <w:r>
        <w:rPr>
          <w:rFonts w:ascii="Arial" w:cs="Arial" w:eastAsia="Arial" w:hAnsi="Arial"/>
          <w:sz w:val="12"/>
          <w:szCs w:val="12"/>
          <w:color w:val="auto"/>
        </w:rPr>
        <w:t>| Damien Coles</w:t>
      </w:r>
      <w:r>
        <w:rPr>
          <w:rFonts w:ascii="Arial" w:cs="Arial" w:eastAsia="Arial" w:hAnsi="Arial"/>
          <w:sz w:val="18"/>
          <w:szCs w:val="18"/>
          <w:color w:val="auto"/>
          <w:vertAlign w:val="superscript"/>
        </w:rPr>
        <w:t>6</w:t>
      </w:r>
      <w:r>
        <w:rPr>
          <w:rFonts w:ascii="Arial" w:cs="Arial" w:eastAsia="Arial" w:hAnsi="Arial"/>
          <w:sz w:val="12"/>
          <w:szCs w:val="12"/>
          <w:b w:val="1"/>
          <w:bCs w:val="1"/>
          <w:color w:val="auto"/>
        </w:rPr>
        <w:t xml:space="preserve"> </w:t>
      </w:r>
      <w:r>
        <w:rPr>
          <w:rFonts w:ascii="Arial" w:cs="Arial" w:eastAsia="Arial" w:hAnsi="Arial"/>
          <w:sz w:val="12"/>
          <w:szCs w:val="12"/>
          <w:color w:val="auto"/>
        </w:rPr>
        <w:t>| Meng Ding</w:t>
      </w:r>
      <w:r>
        <w:rPr>
          <w:rFonts w:ascii="Arial" w:cs="Arial" w:eastAsia="Arial" w:hAnsi="Arial"/>
          <w:sz w:val="18"/>
          <w:szCs w:val="18"/>
          <w:color w:val="auto"/>
          <w:vertAlign w:val="superscript"/>
        </w:rPr>
        <w:t>3</w:t>
      </w:r>
      <w:r>
        <w:rPr>
          <w:rFonts w:ascii="Arial" w:cs="Arial" w:eastAsia="Arial" w:hAnsi="Arial"/>
          <w:sz w:val="12"/>
          <w:szCs w:val="12"/>
          <w:b w:val="1"/>
          <w:bCs w:val="1"/>
          <w:color w:val="auto"/>
        </w:rPr>
        <w:t xml:space="preserve"> </w:t>
      </w:r>
      <w:r>
        <w:rPr>
          <w:rFonts w:ascii="Arial" w:cs="Arial" w:eastAsia="Arial" w:hAnsi="Arial"/>
          <w:sz w:val="12"/>
          <w:szCs w:val="12"/>
          <w:color w:val="auto"/>
        </w:rPr>
        <w:t>| Daniel Dusek</w:t>
      </w:r>
      <w:r>
        <w:rPr>
          <w:rFonts w:ascii="Arial" w:cs="Arial" w:eastAsia="Arial" w:hAnsi="Arial"/>
          <w:sz w:val="18"/>
          <w:szCs w:val="18"/>
          <w:color w:val="auto"/>
          <w:vertAlign w:val="superscript"/>
        </w:rPr>
        <w:t>3</w:t>
      </w:r>
      <w:r>
        <w:rPr>
          <w:rFonts w:ascii="Arial" w:cs="Arial" w:eastAsia="Arial" w:hAnsi="Arial"/>
          <w:sz w:val="12"/>
          <w:szCs w:val="12"/>
          <w:b w:val="1"/>
          <w:bCs w:val="1"/>
          <w:color w:val="auto"/>
        </w:rPr>
        <w:t xml:space="preserve"> </w:t>
      </w:r>
      <w:r>
        <w:rPr>
          <w:rFonts w:ascii="Arial" w:cs="Arial" w:eastAsia="Arial" w:hAnsi="Arial"/>
          <w:sz w:val="12"/>
          <w:szCs w:val="12"/>
          <w:color w:val="auto"/>
        </w:rPr>
        <w:t>| David M. Irvine</w:t>
      </w:r>
      <w:r>
        <w:rPr>
          <w:rFonts w:ascii="Arial" w:cs="Arial" w:eastAsia="Arial" w:hAnsi="Arial"/>
          <w:sz w:val="18"/>
          <w:szCs w:val="18"/>
          <w:color w:val="auto"/>
          <w:vertAlign w:val="superscript"/>
        </w:rPr>
        <w:t>6</w:t>
      </w:r>
      <w:r>
        <w:rPr>
          <w:rFonts w:ascii="Arial" w:cs="Arial" w:eastAsia="Arial" w:hAnsi="Arial"/>
          <w:sz w:val="12"/>
          <w:szCs w:val="12"/>
          <w:b w:val="1"/>
          <w:bCs w:val="1"/>
          <w:color w:val="auto"/>
        </w:rPr>
        <w:t xml:space="preserve"> </w:t>
      </w:r>
      <w:r>
        <w:rPr>
          <w:rFonts w:ascii="Arial" w:cs="Arial" w:eastAsia="Arial" w:hAnsi="Arial"/>
          <w:sz w:val="12"/>
          <w:szCs w:val="12"/>
          <w:color w:val="auto"/>
        </w:rPr>
        <w:t>| Hao-Chin Jeng</w:t>
      </w:r>
      <w:r>
        <w:rPr>
          <w:rFonts w:ascii="Arial" w:cs="Arial" w:eastAsia="Arial" w:hAnsi="Arial"/>
          <w:sz w:val="18"/>
          <w:szCs w:val="18"/>
          <w:color w:val="auto"/>
          <w:vertAlign w:val="superscript"/>
        </w:rPr>
        <w:t>3</w:t>
      </w:r>
      <w:r>
        <w:rPr>
          <w:rFonts w:ascii="Arial" w:cs="Arial" w:eastAsia="Arial" w:hAnsi="Arial"/>
          <w:sz w:val="12"/>
          <w:szCs w:val="12"/>
          <w:b w:val="1"/>
          <w:bCs w:val="1"/>
          <w:color w:val="auto"/>
        </w:rPr>
        <w:t xml:space="preserve"> </w:t>
      </w:r>
      <w:r>
        <w:rPr>
          <w:rFonts w:ascii="Arial" w:cs="Arial" w:eastAsia="Arial" w:hAnsi="Arial"/>
          <w:sz w:val="12"/>
          <w:szCs w:val="12"/>
          <w:color w:val="auto"/>
        </w:rPr>
        <w:t>| Benjamin W. James</w:t>
      </w:r>
      <w:r>
        <w:rPr>
          <w:rFonts w:ascii="Arial" w:cs="Arial" w:eastAsia="Arial" w:hAnsi="Arial"/>
          <w:sz w:val="18"/>
          <w:szCs w:val="18"/>
          <w:color w:val="auto"/>
          <w:vertAlign w:val="superscript"/>
        </w:rPr>
        <w:t>4</w:t>
      </w:r>
      <w:r>
        <w:rPr>
          <w:rFonts w:ascii="Arial" w:cs="Arial" w:eastAsia="Arial" w:hAnsi="Arial"/>
          <w:sz w:val="12"/>
          <w:szCs w:val="12"/>
          <w:b w:val="1"/>
          <w:bCs w:val="1"/>
          <w:color w:val="auto"/>
        </w:rPr>
        <w:t xml:space="preserve"> </w:t>
      </w:r>
      <w:r>
        <w:rPr>
          <w:rFonts w:ascii="Arial" w:cs="Arial" w:eastAsia="Arial" w:hAnsi="Arial"/>
          <w:sz w:val="12"/>
          <w:szCs w:val="12"/>
          <w:color w:val="auto"/>
        </w:rPr>
        <w:t>| Cori A. Lable</w:t>
      </w:r>
      <w:r>
        <w:rPr>
          <w:rFonts w:ascii="Arial" w:cs="Arial" w:eastAsia="Arial" w:hAnsi="Arial"/>
          <w:sz w:val="18"/>
          <w:szCs w:val="18"/>
          <w:color w:val="auto"/>
          <w:vertAlign w:val="superscript"/>
        </w:rPr>
        <w:t>2</w:t>
      </w:r>
      <w:r>
        <w:rPr>
          <w:rFonts w:ascii="Arial" w:cs="Arial" w:eastAsia="Arial" w:hAnsi="Arial"/>
          <w:sz w:val="12"/>
          <w:szCs w:val="12"/>
          <w:b w:val="1"/>
          <w:bCs w:val="1"/>
          <w:color w:val="auto"/>
        </w:rPr>
        <w:t xml:space="preserve"> </w:t>
      </w:r>
      <w:r>
        <w:rPr>
          <w:rFonts w:ascii="Arial" w:cs="Arial" w:eastAsia="Arial" w:hAnsi="Arial"/>
          <w:sz w:val="12"/>
          <w:szCs w:val="12"/>
          <w:color w:val="auto"/>
        </w:rPr>
        <w:t>| Xiaoxi Lin</w:t>
      </w:r>
      <w:r>
        <w:rPr>
          <w:rFonts w:ascii="Arial" w:cs="Arial" w:eastAsia="Arial" w:hAnsi="Arial"/>
          <w:sz w:val="18"/>
          <w:szCs w:val="18"/>
          <w:color w:val="auto"/>
          <w:vertAlign w:val="superscript"/>
        </w:rPr>
        <w:t>3</w:t>
      </w:r>
      <w:r>
        <w:rPr>
          <w:rFonts w:ascii="Arial" w:cs="Arial" w:eastAsia="Arial" w:hAnsi="Arial"/>
          <w:sz w:val="12"/>
          <w:szCs w:val="12"/>
          <w:b w:val="1"/>
          <w:bCs w:val="1"/>
          <w:color w:val="auto"/>
        </w:rPr>
        <w:t xml:space="preserve"> </w:t>
      </w:r>
      <w:r>
        <w:rPr>
          <w:rFonts w:ascii="Arial" w:cs="Arial" w:eastAsia="Arial" w:hAnsi="Arial"/>
          <w:sz w:val="12"/>
          <w:szCs w:val="12"/>
          <w:color w:val="auto"/>
        </w:rPr>
        <w:t>|</w:t>
      </w:r>
    </w:p>
    <w:p>
      <w:pPr>
        <w:spacing w:after="0" w:line="198" w:lineRule="auto"/>
        <w:rPr>
          <w:sz w:val="20"/>
          <w:szCs w:val="20"/>
          <w:color w:val="auto"/>
        </w:rPr>
      </w:pPr>
      <w:r>
        <w:rPr>
          <w:rFonts w:ascii="Arial" w:cs="Arial" w:eastAsia="Arial" w:hAnsi="Arial"/>
          <w:sz w:val="13"/>
          <w:szCs w:val="13"/>
          <w:color w:val="auto"/>
        </w:rPr>
        <w:t>Daniel R. Lindsey</w:t>
      </w:r>
      <w:r>
        <w:rPr>
          <w:rFonts w:ascii="Arial" w:cs="Arial" w:eastAsia="Arial" w:hAnsi="Arial"/>
          <w:sz w:val="20"/>
          <w:szCs w:val="20"/>
          <w:color w:val="auto"/>
          <w:vertAlign w:val="superscript"/>
        </w:rPr>
        <w:t>6</w:t>
      </w:r>
      <w:r>
        <w:rPr>
          <w:rFonts w:ascii="Arial" w:cs="Arial" w:eastAsia="Arial" w:hAnsi="Arial"/>
          <w:sz w:val="13"/>
          <w:szCs w:val="13"/>
          <w:color w:val="auto"/>
        </w:rPr>
        <w:t xml:space="preserve"> | Daniel A. Margulies</w:t>
      </w:r>
      <w:r>
        <w:rPr>
          <w:rFonts w:ascii="Arial" w:cs="Arial" w:eastAsia="Arial" w:hAnsi="Arial"/>
          <w:sz w:val="20"/>
          <w:szCs w:val="20"/>
          <w:color w:val="auto"/>
          <w:vertAlign w:val="superscript"/>
        </w:rPr>
        <w:t>6</w:t>
      </w:r>
      <w:r>
        <w:rPr>
          <w:rFonts w:ascii="Arial" w:cs="Arial" w:eastAsia="Arial" w:hAnsi="Arial"/>
          <w:sz w:val="13"/>
          <w:szCs w:val="13"/>
          <w:color w:val="auto"/>
        </w:rPr>
        <w:t xml:space="preserve"> | Peng Qi</w:t>
      </w:r>
      <w:r>
        <w:rPr>
          <w:rFonts w:ascii="Arial" w:cs="Arial" w:eastAsia="Arial" w:hAnsi="Arial"/>
          <w:sz w:val="20"/>
          <w:szCs w:val="20"/>
          <w:color w:val="auto"/>
          <w:vertAlign w:val="superscript"/>
        </w:rPr>
        <w:t>3</w:t>
      </w:r>
      <w:r>
        <w:rPr>
          <w:rFonts w:ascii="Arial" w:cs="Arial" w:eastAsia="Arial" w:hAnsi="Arial"/>
          <w:sz w:val="13"/>
          <w:szCs w:val="13"/>
          <w:color w:val="auto"/>
        </w:rPr>
        <w:t xml:space="preserve"> | Robert P.H. Sandes</w:t>
      </w:r>
      <w:r>
        <w:rPr>
          <w:rFonts w:ascii="Arial" w:cs="Arial" w:eastAsia="Arial" w:hAnsi="Arial"/>
          <w:sz w:val="20"/>
          <w:szCs w:val="20"/>
          <w:color w:val="auto"/>
          <w:vertAlign w:val="superscript"/>
        </w:rPr>
        <w:t>6</w:t>
      </w:r>
      <w:r>
        <w:rPr>
          <w:rFonts w:ascii="Arial" w:cs="Arial" w:eastAsia="Arial" w:hAnsi="Arial"/>
          <w:sz w:val="13"/>
          <w:szCs w:val="13"/>
          <w:color w:val="auto"/>
        </w:rPr>
        <w:t xml:space="preserve"> | Wenchen Tang</w:t>
      </w:r>
      <w:r>
        <w:rPr>
          <w:rFonts w:ascii="Arial" w:cs="Arial" w:eastAsia="Arial" w:hAnsi="Arial"/>
          <w:sz w:val="20"/>
          <w:szCs w:val="20"/>
          <w:color w:val="auto"/>
          <w:vertAlign w:val="superscript"/>
        </w:rPr>
        <w:t>3</w:t>
      </w:r>
      <w:r>
        <w:rPr>
          <w:rFonts w:ascii="Arial" w:cs="Arial" w:eastAsia="Arial" w:hAnsi="Arial"/>
          <w:sz w:val="13"/>
          <w:szCs w:val="13"/>
          <w:color w:val="auto"/>
        </w:rPr>
        <w:t xml:space="preserve"> | Xiaoyao Yin</w:t>
      </w:r>
      <w:r>
        <w:rPr>
          <w:rFonts w:ascii="Arial" w:cs="Arial" w:eastAsia="Arial" w:hAnsi="Arial"/>
          <w:sz w:val="20"/>
          <w:szCs w:val="20"/>
          <w:color w:val="auto"/>
          <w:vertAlign w:val="superscript"/>
        </w:rPr>
        <w:t>3</w:t>
      </w:r>
      <w:r>
        <w:rPr>
          <w:rFonts w:ascii="Arial" w:cs="Arial" w:eastAsia="Arial" w:hAnsi="Arial"/>
          <w:sz w:val="13"/>
          <w:szCs w:val="13"/>
          <w:color w:val="auto"/>
        </w:rPr>
        <w:t xml:space="preserve"> | David Zhang</w:t>
      </w:r>
      <w:r>
        <w:rPr>
          <w:rFonts w:ascii="Arial" w:cs="Arial" w:eastAsia="Arial" w:hAnsi="Arial"/>
          <w:sz w:val="20"/>
          <w:szCs w:val="20"/>
          <w:color w:val="auto"/>
          <w:vertAlign w:val="superscript"/>
        </w:rPr>
        <w:t>3</w:t>
      </w:r>
      <w:r>
        <w:rPr>
          <w:rFonts w:ascii="Arial" w:cs="Arial" w:eastAsia="Arial" w:hAnsi="Arial"/>
          <w:sz w:val="13"/>
          <w:szCs w:val="13"/>
          <w:color w:val="auto"/>
        </w:rPr>
        <w:t xml:space="preserve"> | Yue Zhang</w:t>
      </w:r>
      <w:r>
        <w:rPr>
          <w:rFonts w:ascii="Arial" w:cs="Arial" w:eastAsia="Arial" w:hAnsi="Arial"/>
          <w:sz w:val="20"/>
          <w:szCs w:val="20"/>
          <w:color w:val="auto"/>
          <w:vertAlign w:val="superscript"/>
        </w:rPr>
        <w:t>3</w:t>
      </w:r>
    </w:p>
    <w:tbl>
      <w:tblPr>
        <w:tblLayout w:type="fixed"/>
        <w:tblInd w:w="0" w:type="dxa"/>
        <w:tblCellMar>
          <w:top w:w="0" w:type="dxa"/>
          <w:left w:w="0" w:type="dxa"/>
          <w:bottom w:w="0" w:type="dxa"/>
          <w:right w:w="0" w:type="dxa"/>
        </w:tblCellMar>
      </w:tblPr>
      <w:tr>
        <w:trPr>
          <w:trHeight w:val="272"/>
        </w:trPr>
        <w:tc>
          <w:tcPr>
            <w:tcW w:w="960" w:type="dxa"/>
            <w:vAlign w:val="bottom"/>
          </w:tcPr>
          <w:p>
            <w:pPr>
              <w:spacing w:after="0"/>
              <w:rPr>
                <w:sz w:val="20"/>
                <w:szCs w:val="20"/>
                <w:color w:val="auto"/>
              </w:rPr>
            </w:pPr>
            <w:r>
              <w:rPr>
                <w:rFonts w:ascii="Arial" w:cs="Arial" w:eastAsia="Arial" w:hAnsi="Arial"/>
                <w:sz w:val="13"/>
                <w:szCs w:val="13"/>
                <w:b w:val="1"/>
                <w:bCs w:val="1"/>
                <w:color w:val="auto"/>
              </w:rPr>
              <w:t>ADMITTED IN:</w:t>
            </w:r>
          </w:p>
        </w:tc>
        <w:tc>
          <w:tcPr>
            <w:tcW w:w="10460" w:type="dxa"/>
            <w:vAlign w:val="bottom"/>
          </w:tcPr>
          <w:p>
            <w:pPr>
              <w:ind w:left="120"/>
              <w:spacing w:after="0"/>
              <w:rPr>
                <w:sz w:val="20"/>
                <w:szCs w:val="20"/>
                <w:color w:val="auto"/>
              </w:rPr>
            </w:pPr>
            <w:r>
              <w:rPr>
                <w:rFonts w:ascii="Arial" w:cs="Arial" w:eastAsia="Arial" w:hAnsi="Arial"/>
                <w:sz w:val="20"/>
                <w:szCs w:val="20"/>
                <w:color w:val="auto"/>
                <w:w w:val="91"/>
                <w:vertAlign w:val="superscript"/>
              </w:rPr>
              <w:t>1</w:t>
            </w:r>
            <w:r>
              <w:rPr>
                <w:rFonts w:ascii="Arial" w:cs="Arial" w:eastAsia="Arial" w:hAnsi="Arial"/>
                <w:sz w:val="13"/>
                <w:szCs w:val="13"/>
                <w:color w:val="auto"/>
                <w:w w:val="91"/>
              </w:rPr>
              <w:t xml:space="preserve"> State of Illinois (U.S.A.); </w:t>
            </w:r>
            <w:r>
              <w:rPr>
                <w:rFonts w:ascii="Arial" w:cs="Arial" w:eastAsia="Arial" w:hAnsi="Arial"/>
                <w:sz w:val="20"/>
                <w:szCs w:val="20"/>
                <w:color w:val="auto"/>
                <w:w w:val="91"/>
                <w:vertAlign w:val="superscript"/>
              </w:rPr>
              <w:t>2</w:t>
            </w:r>
            <w:r>
              <w:rPr>
                <w:rFonts w:ascii="Arial" w:cs="Arial" w:eastAsia="Arial" w:hAnsi="Arial"/>
                <w:sz w:val="13"/>
                <w:szCs w:val="13"/>
                <w:color w:val="auto"/>
                <w:w w:val="91"/>
              </w:rPr>
              <w:t xml:space="preserve"> Commonwealth of Massachusetts (U.S.A.); </w:t>
            </w:r>
            <w:r>
              <w:rPr>
                <w:rFonts w:ascii="Arial" w:cs="Arial" w:eastAsia="Arial" w:hAnsi="Arial"/>
                <w:sz w:val="20"/>
                <w:szCs w:val="20"/>
                <w:color w:val="auto"/>
                <w:w w:val="91"/>
                <w:vertAlign w:val="superscript"/>
              </w:rPr>
              <w:t>3</w:t>
            </w:r>
            <w:r>
              <w:rPr>
                <w:rFonts w:ascii="Arial" w:cs="Arial" w:eastAsia="Arial" w:hAnsi="Arial"/>
                <w:sz w:val="13"/>
                <w:szCs w:val="13"/>
                <w:color w:val="auto"/>
                <w:w w:val="91"/>
              </w:rPr>
              <w:t xml:space="preserve"> State of New York (U.S.A.); </w:t>
            </w:r>
            <w:r>
              <w:rPr>
                <w:rFonts w:ascii="Arial" w:cs="Arial" w:eastAsia="Arial" w:hAnsi="Arial"/>
                <w:sz w:val="20"/>
                <w:szCs w:val="20"/>
                <w:color w:val="auto"/>
                <w:w w:val="91"/>
                <w:vertAlign w:val="superscript"/>
              </w:rPr>
              <w:t>4</w:t>
            </w:r>
            <w:r>
              <w:rPr>
                <w:rFonts w:ascii="Arial" w:cs="Arial" w:eastAsia="Arial" w:hAnsi="Arial"/>
                <w:sz w:val="13"/>
                <w:szCs w:val="13"/>
                <w:color w:val="auto"/>
                <w:w w:val="91"/>
              </w:rPr>
              <w:t xml:space="preserve"> State of Texas (U.S.A.); </w:t>
            </w:r>
            <w:r>
              <w:rPr>
                <w:rFonts w:ascii="Arial" w:cs="Arial" w:eastAsia="Arial" w:hAnsi="Arial"/>
                <w:sz w:val="20"/>
                <w:szCs w:val="20"/>
                <w:color w:val="auto"/>
                <w:w w:val="91"/>
                <w:vertAlign w:val="superscript"/>
              </w:rPr>
              <w:t>5</w:t>
            </w:r>
            <w:r>
              <w:rPr>
                <w:rFonts w:ascii="Arial" w:cs="Arial" w:eastAsia="Arial" w:hAnsi="Arial"/>
                <w:sz w:val="13"/>
                <w:szCs w:val="13"/>
                <w:color w:val="auto"/>
                <w:w w:val="91"/>
              </w:rPr>
              <w:t xml:space="preserve"> State of Wisconsin (U.S.A.); </w:t>
            </w:r>
            <w:r>
              <w:rPr>
                <w:rFonts w:ascii="Arial" w:cs="Arial" w:eastAsia="Arial" w:hAnsi="Arial"/>
                <w:sz w:val="20"/>
                <w:szCs w:val="20"/>
                <w:color w:val="auto"/>
                <w:w w:val="91"/>
                <w:vertAlign w:val="superscript"/>
              </w:rPr>
              <w:t>6</w:t>
            </w:r>
            <w:r>
              <w:rPr>
                <w:rFonts w:ascii="Arial" w:cs="Arial" w:eastAsia="Arial" w:hAnsi="Arial"/>
                <w:sz w:val="13"/>
                <w:szCs w:val="13"/>
                <w:color w:val="auto"/>
                <w:w w:val="91"/>
              </w:rPr>
              <w:t xml:space="preserve"> England and Wales; </w:t>
            </w:r>
            <w:r>
              <w:rPr>
                <w:rFonts w:ascii="Arial" w:cs="Arial" w:eastAsia="Arial" w:hAnsi="Arial"/>
                <w:sz w:val="20"/>
                <w:szCs w:val="20"/>
                <w:color w:val="auto"/>
                <w:w w:val="91"/>
                <w:vertAlign w:val="superscript"/>
              </w:rPr>
              <w:t>#</w:t>
            </w:r>
            <w:r>
              <w:rPr>
                <w:rFonts w:ascii="Arial" w:cs="Arial" w:eastAsia="Arial" w:hAnsi="Arial"/>
                <w:sz w:val="13"/>
                <w:szCs w:val="13"/>
                <w:color w:val="auto"/>
                <w:w w:val="91"/>
              </w:rPr>
              <w:t xml:space="preserve"> non-resident</w:t>
            </w:r>
          </w:p>
        </w:tc>
      </w:tr>
      <w:tr>
        <w:trPr>
          <w:trHeight w:val="346"/>
        </w:trPr>
        <w:tc>
          <w:tcPr>
            <w:tcW w:w="960" w:type="dxa"/>
            <w:vAlign w:val="bottom"/>
          </w:tcPr>
          <w:p>
            <w:pPr>
              <w:spacing w:after="0"/>
              <w:rPr>
                <w:sz w:val="20"/>
                <w:szCs w:val="20"/>
                <w:color w:val="auto"/>
              </w:rPr>
            </w:pPr>
            <w:r>
              <w:rPr>
                <w:rFonts w:ascii="Arial" w:cs="Arial" w:eastAsia="Arial" w:hAnsi="Arial"/>
                <w:sz w:val="13"/>
                <w:szCs w:val="13"/>
                <w:color w:val="auto"/>
              </w:rPr>
              <w:t>Beijing  Boston</w:t>
            </w:r>
          </w:p>
        </w:tc>
        <w:tc>
          <w:tcPr>
            <w:tcW w:w="10460" w:type="dxa"/>
            <w:vAlign w:val="bottom"/>
          </w:tcPr>
          <w:p>
            <w:pPr>
              <w:ind w:left="20"/>
              <w:spacing w:after="0"/>
              <w:rPr>
                <w:sz w:val="20"/>
                <w:szCs w:val="20"/>
                <w:color w:val="auto"/>
              </w:rPr>
            </w:pPr>
            <w:r>
              <w:rPr>
                <w:rFonts w:ascii="Arial" w:cs="Arial" w:eastAsia="Arial" w:hAnsi="Arial"/>
                <w:sz w:val="13"/>
                <w:szCs w:val="13"/>
                <w:color w:val="auto"/>
              </w:rPr>
              <w:t>Chicago  Houston  London  Los Angeles  Munich  New York  Palo Alto  San Francisco  Shanghai  Washington, D.C.</w:t>
            </w:r>
          </w:p>
        </w:tc>
      </w:tr>
      <w:tr>
        <w:trPr>
          <w:trHeight w:val="583"/>
        </w:trPr>
        <w:tc>
          <w:tcPr>
            <w:tcW w:w="960" w:type="dxa"/>
            <w:vAlign w:val="bottom"/>
            <w:tcBorders>
              <w:bottom w:val="single" w:sz="8" w:color="auto"/>
            </w:tcBorders>
          </w:tcPr>
          <w:p>
            <w:pPr>
              <w:spacing w:after="0"/>
              <w:rPr>
                <w:sz w:val="24"/>
                <w:szCs w:val="24"/>
                <w:color w:val="auto"/>
              </w:rPr>
            </w:pPr>
          </w:p>
        </w:tc>
        <w:tc>
          <w:tcPr>
            <w:tcW w:w="10460" w:type="dxa"/>
            <w:vAlign w:val="bottom"/>
            <w:tcBorders>
              <w:bottom w:val="single" w:sz="8" w:color="auto"/>
            </w:tcBorders>
          </w:tcPr>
          <w:p>
            <w:pPr>
              <w:spacing w:after="0"/>
              <w:rPr>
                <w:sz w:val="24"/>
                <w:szCs w:val="24"/>
                <w:color w:val="auto"/>
              </w:rPr>
            </w:pPr>
          </w:p>
        </w:tc>
      </w:tr>
    </w:tbl>
    <w:p>
      <w:pPr>
        <w:sectPr>
          <w:pgSz w:w="11900" w:h="16838" w:orient="portrait"/>
          <w:cols w:equalWidth="0" w:num="1">
            <w:col w:w="11420"/>
          </w:cols>
          <w:pgMar w:left="240" w:top="1241" w:right="239" w:bottom="1440" w:gutter="0" w:footer="0" w:header="0"/>
        </w:sectPr>
      </w:pPr>
    </w:p>
    <w:bookmarkStart w:id="1" w:name="page2"/>
    <w:bookmarkEnd w:id="1"/>
    <w:p>
      <w:pPr>
        <w:spacing w:after="0" w:line="185"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2919095</wp:posOffset>
            </wp:positionH>
            <wp:positionV relativeFrom="page">
              <wp:posOffset>586105</wp:posOffset>
            </wp:positionV>
            <wp:extent cx="1697990" cy="1460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1697990" cy="146050"/>
                    </a:xfrm>
                    <a:prstGeom prst="rect">
                      <a:avLst/>
                    </a:prstGeom>
                    <a:noFill/>
                  </pic:spPr>
                </pic:pic>
              </a:graphicData>
            </a:graphic>
          </wp:anchor>
        </w:drawing>
      </w:r>
    </w:p>
    <w:p>
      <w:pPr>
        <w:spacing w:after="0"/>
        <w:rPr>
          <w:sz w:val="20"/>
          <w:szCs w:val="20"/>
          <w:color w:val="auto"/>
        </w:rPr>
      </w:pPr>
      <w:r>
        <w:rPr>
          <w:rFonts w:ascii="Arial" w:cs="Arial" w:eastAsia="Arial" w:hAnsi="Arial"/>
          <w:sz w:val="18"/>
          <w:szCs w:val="18"/>
          <w:color w:val="auto"/>
        </w:rPr>
        <w:t>Securities and Exchange Commission</w:t>
      </w:r>
    </w:p>
    <w:p>
      <w:pPr>
        <w:spacing w:after="0" w:line="23" w:lineRule="exact"/>
        <w:rPr>
          <w:sz w:val="20"/>
          <w:szCs w:val="20"/>
          <w:color w:val="auto"/>
        </w:rPr>
      </w:pPr>
    </w:p>
    <w:p>
      <w:pPr>
        <w:spacing w:after="0"/>
        <w:rPr>
          <w:sz w:val="20"/>
          <w:szCs w:val="20"/>
          <w:color w:val="auto"/>
        </w:rPr>
      </w:pPr>
      <w:r>
        <w:rPr>
          <w:rFonts w:ascii="Arial" w:cs="Arial" w:eastAsia="Arial" w:hAnsi="Arial"/>
          <w:sz w:val="18"/>
          <w:szCs w:val="18"/>
          <w:color w:val="auto"/>
        </w:rPr>
        <w:t>May 8, 2018</w:t>
      </w:r>
    </w:p>
    <w:p>
      <w:pPr>
        <w:spacing w:after="0" w:line="6" w:lineRule="exact"/>
        <w:rPr>
          <w:sz w:val="20"/>
          <w:szCs w:val="20"/>
          <w:color w:val="auto"/>
        </w:rPr>
      </w:pPr>
    </w:p>
    <w:p>
      <w:pPr>
        <w:spacing w:after="0"/>
        <w:rPr>
          <w:sz w:val="20"/>
          <w:szCs w:val="20"/>
          <w:color w:val="auto"/>
        </w:rPr>
      </w:pPr>
      <w:r>
        <w:rPr>
          <w:rFonts w:ascii="Arial" w:cs="Arial" w:eastAsia="Arial" w:hAnsi="Arial"/>
          <w:sz w:val="22"/>
          <w:szCs w:val="22"/>
          <w:color w:val="auto"/>
        </w:rPr>
        <w:t xml:space="preserve">Page </w:t>
      </w:r>
      <w:r>
        <w:rPr>
          <w:rFonts w:ascii="Arial" w:cs="Arial" w:eastAsia="Arial" w:hAnsi="Arial"/>
          <w:sz w:val="18"/>
          <w:szCs w:val="18"/>
          <w:color w:val="auto"/>
        </w:rPr>
        <w:t>2</w:t>
      </w:r>
    </w:p>
    <w:p>
      <w:pPr>
        <w:spacing w:after="0" w:line="200" w:lineRule="exact"/>
        <w:rPr>
          <w:sz w:val="20"/>
          <w:szCs w:val="20"/>
          <w:color w:val="auto"/>
        </w:rPr>
      </w:pPr>
    </w:p>
    <w:p>
      <w:pPr>
        <w:spacing w:after="0" w:line="211" w:lineRule="exact"/>
        <w:rPr>
          <w:sz w:val="20"/>
          <w:szCs w:val="20"/>
          <w:color w:val="auto"/>
        </w:rPr>
      </w:pPr>
    </w:p>
    <w:p>
      <w:pPr>
        <w:jc w:val="both"/>
        <w:ind w:firstLine="648"/>
        <w:spacing w:after="0" w:line="264" w:lineRule="auto"/>
        <w:rPr>
          <w:sz w:val="20"/>
          <w:szCs w:val="20"/>
          <w:color w:val="auto"/>
        </w:rPr>
      </w:pPr>
      <w:r>
        <w:rPr>
          <w:rFonts w:ascii="Arial" w:cs="Arial" w:eastAsia="Arial" w:hAnsi="Arial"/>
          <w:sz w:val="18"/>
          <w:szCs w:val="18"/>
          <w:color w:val="auto"/>
        </w:rPr>
        <w:t xml:space="preserve">If you have any questions regarding the Registration Statement, please contact me at </w:t>
      </w:r>
      <w:r>
        <w:rPr>
          <w:rFonts w:ascii="Arial" w:cs="Arial" w:eastAsia="Arial" w:hAnsi="Arial"/>
          <w:sz w:val="18"/>
          <w:szCs w:val="18"/>
          <w:u w:val="single" w:color="auto"/>
          <w:color w:val="0000FF"/>
        </w:rPr>
        <w:t>david.zhang@kirkland.com</w:t>
      </w:r>
      <w:r>
        <w:rPr>
          <w:rFonts w:ascii="Arial" w:cs="Arial" w:eastAsia="Arial" w:hAnsi="Arial"/>
          <w:sz w:val="18"/>
          <w:szCs w:val="18"/>
          <w:color w:val="auto"/>
        </w:rPr>
        <w:t xml:space="preserve">, +852 3761 3318 (work) or +852 9124 8324 (cell), Ben James at </w:t>
      </w:r>
      <w:r>
        <w:rPr>
          <w:rFonts w:ascii="Arial" w:cs="Arial" w:eastAsia="Arial" w:hAnsi="Arial"/>
          <w:sz w:val="18"/>
          <w:szCs w:val="18"/>
          <w:u w:val="single" w:color="auto"/>
          <w:color w:val="0000FF"/>
        </w:rPr>
        <w:t>ben.james@kirkland.com</w:t>
      </w:r>
      <w:r>
        <w:rPr>
          <w:rFonts w:ascii="Arial" w:cs="Arial" w:eastAsia="Arial" w:hAnsi="Arial"/>
          <w:sz w:val="18"/>
          <w:szCs w:val="18"/>
          <w:color w:val="auto"/>
        </w:rPr>
        <w:t xml:space="preserve">, +852 3761 3412 (work) or +852 5183 3813 (cell), or Steve Lin at </w:t>
      </w:r>
      <w:r>
        <w:rPr>
          <w:rFonts w:ascii="Arial" w:cs="Arial" w:eastAsia="Arial" w:hAnsi="Arial"/>
          <w:sz w:val="18"/>
          <w:szCs w:val="18"/>
          <w:u w:val="single" w:color="auto"/>
          <w:color w:val="0000FF"/>
        </w:rPr>
        <w:t>steve.lin@kirkland.com</w:t>
      </w:r>
      <w:r>
        <w:rPr>
          <w:rFonts w:ascii="Arial" w:cs="Arial" w:eastAsia="Arial" w:hAnsi="Arial"/>
          <w:sz w:val="18"/>
          <w:szCs w:val="18"/>
          <w:color w:val="auto"/>
        </w:rPr>
        <w:t>, + 86 10 5737 9315 (work) or +86 18610495593.</w:t>
      </w:r>
    </w:p>
    <w:p>
      <w:pPr>
        <w:spacing w:after="0" w:line="181" w:lineRule="exact"/>
        <w:rPr>
          <w:sz w:val="20"/>
          <w:szCs w:val="20"/>
          <w:color w:val="auto"/>
        </w:rPr>
      </w:pPr>
    </w:p>
    <w:p>
      <w:pPr>
        <w:ind w:left="660"/>
        <w:spacing w:after="0"/>
        <w:rPr>
          <w:sz w:val="20"/>
          <w:szCs w:val="20"/>
          <w:color w:val="auto"/>
        </w:rPr>
      </w:pPr>
      <w:r>
        <w:rPr>
          <w:rFonts w:ascii="Arial" w:cs="Arial" w:eastAsia="Arial" w:hAnsi="Arial"/>
          <w:sz w:val="18"/>
          <w:szCs w:val="18"/>
          <w:color w:val="auto"/>
        </w:rPr>
        <w:t>Thank you for your time and attention.</w:t>
      </w:r>
    </w:p>
    <w:p>
      <w:pPr>
        <w:spacing w:after="0" w:line="225" w:lineRule="exact"/>
        <w:rPr>
          <w:sz w:val="20"/>
          <w:szCs w:val="20"/>
          <w:color w:val="auto"/>
        </w:rPr>
      </w:pPr>
    </w:p>
    <w:p>
      <w:pPr>
        <w:ind w:left="6060"/>
        <w:spacing w:after="0"/>
        <w:rPr>
          <w:sz w:val="20"/>
          <w:szCs w:val="20"/>
          <w:color w:val="auto"/>
        </w:rPr>
      </w:pPr>
      <w:r>
        <w:rPr>
          <w:rFonts w:ascii="Arial" w:cs="Arial" w:eastAsia="Arial" w:hAnsi="Arial"/>
          <w:sz w:val="18"/>
          <w:szCs w:val="18"/>
          <w:color w:val="auto"/>
        </w:rPr>
        <w:t>Very truly yours,</w:t>
      </w:r>
    </w:p>
    <w:p>
      <w:pPr>
        <w:spacing w:after="0" w:line="200" w:lineRule="exact"/>
        <w:rPr>
          <w:sz w:val="20"/>
          <w:szCs w:val="20"/>
          <w:color w:val="auto"/>
        </w:rPr>
      </w:pPr>
    </w:p>
    <w:p>
      <w:pPr>
        <w:spacing w:after="0" w:line="282" w:lineRule="exact"/>
        <w:rPr>
          <w:sz w:val="20"/>
          <w:szCs w:val="20"/>
          <w:color w:val="auto"/>
        </w:rPr>
      </w:pPr>
    </w:p>
    <w:p>
      <w:pPr>
        <w:ind w:left="6060"/>
        <w:spacing w:after="0"/>
        <w:rPr>
          <w:sz w:val="20"/>
          <w:szCs w:val="20"/>
          <w:color w:val="auto"/>
        </w:rPr>
      </w:pPr>
      <w:r>
        <w:rPr>
          <w:rFonts w:ascii="Arial" w:cs="Arial" w:eastAsia="Arial" w:hAnsi="Arial"/>
          <w:sz w:val="18"/>
          <w:szCs w:val="18"/>
          <w:color w:val="auto"/>
        </w:rPr>
        <w:t>/s/ David T. Zhang</w:t>
      </w:r>
    </w:p>
    <w:p>
      <w:pPr>
        <w:spacing w:after="0" w:line="252" w:lineRule="exact"/>
        <w:rPr>
          <w:sz w:val="20"/>
          <w:szCs w:val="20"/>
          <w:color w:val="auto"/>
        </w:rPr>
      </w:pPr>
    </w:p>
    <w:p>
      <w:pPr>
        <w:ind w:left="6060"/>
        <w:spacing w:after="0"/>
        <w:rPr>
          <w:sz w:val="20"/>
          <w:szCs w:val="20"/>
          <w:color w:val="auto"/>
        </w:rPr>
      </w:pPr>
      <w:r>
        <w:rPr>
          <w:rFonts w:ascii="Arial" w:cs="Arial" w:eastAsia="Arial" w:hAnsi="Arial"/>
          <w:sz w:val="18"/>
          <w:szCs w:val="18"/>
          <w:color w:val="auto"/>
        </w:rPr>
        <w:t>David Zhang</w:t>
      </w:r>
    </w:p>
    <w:p>
      <w:pPr>
        <w:spacing w:after="0" w:line="239" w:lineRule="exact"/>
        <w:rPr>
          <w:sz w:val="20"/>
          <w:szCs w:val="20"/>
          <w:color w:val="auto"/>
        </w:rPr>
      </w:pPr>
    </w:p>
    <w:p>
      <w:pPr>
        <w:spacing w:after="0"/>
        <w:rPr>
          <w:sz w:val="20"/>
          <w:szCs w:val="20"/>
          <w:color w:val="auto"/>
        </w:rPr>
      </w:pPr>
      <w:r>
        <w:rPr>
          <w:rFonts w:ascii="Arial" w:cs="Arial" w:eastAsia="Arial" w:hAnsi="Arial"/>
          <w:sz w:val="18"/>
          <w:szCs w:val="18"/>
          <w:color w:val="auto"/>
        </w:rPr>
        <w:t>Enclosure</w:t>
      </w:r>
    </w:p>
    <w:p>
      <w:pPr>
        <w:spacing w:after="0" w:line="200" w:lineRule="exact"/>
        <w:rPr>
          <w:sz w:val="20"/>
          <w:szCs w:val="20"/>
          <w:color w:val="auto"/>
        </w:rPr>
      </w:pPr>
    </w:p>
    <w:p>
      <w:pPr>
        <w:spacing w:after="0" w:line="241" w:lineRule="exact"/>
        <w:rPr>
          <w:sz w:val="20"/>
          <w:szCs w:val="20"/>
          <w:color w:val="auto"/>
        </w:rPr>
      </w:pPr>
    </w:p>
    <w:p>
      <w:pPr>
        <w:ind w:left="660" w:hanging="652"/>
        <w:spacing w:after="0"/>
        <w:tabs>
          <w:tab w:leader="none" w:pos="660" w:val="left"/>
        </w:tabs>
        <w:numPr>
          <w:ilvl w:val="0"/>
          <w:numId w:val="1"/>
        </w:numPr>
        <w:rPr>
          <w:rFonts w:ascii="Arial" w:cs="Arial" w:eastAsia="Arial" w:hAnsi="Arial"/>
          <w:sz w:val="18"/>
          <w:szCs w:val="18"/>
          <w:color w:val="auto"/>
        </w:rPr>
      </w:pPr>
      <w:r>
        <w:rPr>
          <w:rFonts w:ascii="Arial" w:cs="Arial" w:eastAsia="Arial" w:hAnsi="Arial"/>
          <w:sz w:val="18"/>
          <w:szCs w:val="18"/>
          <w:color w:val="auto"/>
        </w:rPr>
        <w:t>Frode Jacobsen, Chief Financial Officer</w:t>
      </w:r>
    </w:p>
    <w:p>
      <w:pPr>
        <w:spacing w:after="0" w:line="23" w:lineRule="exact"/>
        <w:rPr>
          <w:rFonts w:ascii="Arial" w:cs="Arial" w:eastAsia="Arial" w:hAnsi="Arial"/>
          <w:sz w:val="18"/>
          <w:szCs w:val="18"/>
          <w:color w:val="auto"/>
        </w:rPr>
      </w:pPr>
    </w:p>
    <w:p>
      <w:pPr>
        <w:ind w:left="660" w:right="6360"/>
        <w:spacing w:after="0" w:line="250" w:lineRule="auto"/>
        <w:rPr>
          <w:rFonts w:ascii="Arial" w:cs="Arial" w:eastAsia="Arial" w:hAnsi="Arial"/>
          <w:sz w:val="18"/>
          <w:szCs w:val="18"/>
          <w:color w:val="auto"/>
        </w:rPr>
      </w:pPr>
      <w:r>
        <w:rPr>
          <w:rFonts w:ascii="Arial" w:cs="Arial" w:eastAsia="Arial" w:hAnsi="Arial"/>
          <w:sz w:val="18"/>
          <w:szCs w:val="18"/>
          <w:color w:val="auto"/>
        </w:rPr>
        <w:t>Ben James, Esq., Partner, Kirkland &amp; Ellis International LLP Steve Lin, Esq., Partner, Kirkland &amp; Ellis International LLP Charlie Lea, Partner, KPMG AS</w:t>
      </w:r>
    </w:p>
    <w:p>
      <w:pPr>
        <w:spacing w:after="0" w:line="1" w:lineRule="exact"/>
        <w:rPr>
          <w:rFonts w:ascii="Arial" w:cs="Arial" w:eastAsia="Arial" w:hAnsi="Arial"/>
          <w:sz w:val="18"/>
          <w:szCs w:val="18"/>
          <w:color w:val="auto"/>
        </w:rPr>
      </w:pPr>
    </w:p>
    <w:p>
      <w:pPr>
        <w:ind w:left="660"/>
        <w:spacing w:after="0"/>
        <w:rPr>
          <w:rFonts w:ascii="Arial" w:cs="Arial" w:eastAsia="Arial" w:hAnsi="Arial"/>
          <w:sz w:val="18"/>
          <w:szCs w:val="18"/>
          <w:color w:val="auto"/>
        </w:rPr>
      </w:pPr>
      <w:r>
        <w:rPr>
          <w:rFonts w:ascii="Arial" w:cs="Arial" w:eastAsia="Arial" w:hAnsi="Arial"/>
          <w:sz w:val="18"/>
          <w:szCs w:val="18"/>
          <w:color w:val="auto"/>
        </w:rPr>
        <w:t>Weiheng Chen, Esq., Partner, Wilson Sonsini Goodrich &amp; Rosati</w:t>
      </w:r>
    </w:p>
    <w:p>
      <w:pPr>
        <w:spacing w:after="0" w:line="9" w:lineRule="exact"/>
        <w:rPr>
          <w:rFonts w:ascii="Arial" w:cs="Arial" w:eastAsia="Arial" w:hAnsi="Arial"/>
          <w:sz w:val="18"/>
          <w:szCs w:val="18"/>
          <w:color w:val="auto"/>
        </w:rPr>
      </w:pPr>
    </w:p>
    <w:p>
      <w:pPr>
        <w:ind w:left="660"/>
        <w:spacing w:after="0"/>
        <w:rPr>
          <w:rFonts w:ascii="Arial" w:cs="Arial" w:eastAsia="Arial" w:hAnsi="Arial"/>
          <w:sz w:val="18"/>
          <w:szCs w:val="18"/>
          <w:color w:val="auto"/>
        </w:rPr>
      </w:pPr>
      <w:r>
        <w:rPr>
          <w:rFonts w:ascii="Arial" w:cs="Arial" w:eastAsia="Arial" w:hAnsi="Arial"/>
          <w:sz w:val="18"/>
          <w:szCs w:val="18"/>
          <w:color w:val="auto"/>
        </w:rPr>
        <w:t>Dan Ouyang, Esq., Partner, Wilson Sonsini Goodrich &amp; Rosati, Professional Corporation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451485</wp:posOffset>
            </wp:positionV>
            <wp:extent cx="7246620"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246620" cy="8890"/>
                    </a:xfrm>
                    <a:prstGeom prst="rect">
                      <a:avLst/>
                    </a:prstGeom>
                    <a:noFill/>
                  </pic:spPr>
                </pic:pic>
              </a:graphicData>
            </a:graphic>
          </wp:anchor>
        </w:drawing>
      </w:r>
    </w:p>
    <w:sectPr>
      <w:pgSz w:w="11900" w:h="16838" w:orient="portrait"/>
      <w:cols w:equalWidth="0" w:num="1">
        <w:col w:w="11420"/>
      </w:cols>
      <w:pgMar w:left="240" w:top="1440" w:right="2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c.%1."/>
      <w:numFmt w:val="lowerLetter"/>
      <w:start w:val="3"/>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2019-12-08T17:16:28Z</dcterms:created>
  <dcterms:modified xsi:type="dcterms:W3CDTF">2019-12-08T17:16:28Z</dcterms:modified>
</cp:coreProperties>
</file>