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SCHEDULE 13D</w:t>
      </w:r>
    </w:p>
    <w:p>
      <w:pPr>
        <w:spacing w:after="0" w:line="225" w:lineRule="exact"/>
        <w:rPr>
          <w:sz w:val="24"/>
          <w:szCs w:val="24"/>
          <w:color w:val="auto"/>
        </w:rPr>
      </w:pPr>
    </w:p>
    <w:p>
      <w:pPr>
        <w:spacing w:after="0"/>
        <w:tabs>
          <w:tab w:leader="none" w:pos="10580" w:val="left"/>
        </w:tabs>
        <w:rPr>
          <w:sz w:val="20"/>
          <w:szCs w:val="20"/>
          <w:color w:val="auto"/>
        </w:rPr>
      </w:pPr>
      <w:r>
        <w:rPr>
          <w:rFonts w:ascii="Arial" w:cs="Arial" w:eastAsia="Arial" w:hAnsi="Arial"/>
          <w:sz w:val="18"/>
          <w:szCs w:val="18"/>
          <w:color w:val="auto"/>
        </w:rPr>
        <w:t>CUSIP No. 68373M107</w:t>
      </w:r>
      <w:r>
        <w:rPr>
          <w:sz w:val="20"/>
          <w:szCs w:val="20"/>
          <w:color w:val="auto"/>
        </w:rPr>
        <w:tab/>
      </w:r>
      <w:r>
        <w:rPr>
          <w:rFonts w:ascii="Arial" w:cs="Arial" w:eastAsia="Arial" w:hAnsi="Arial"/>
          <w:sz w:val="16"/>
          <w:szCs w:val="16"/>
          <w:color w:val="auto"/>
        </w:rPr>
        <w:t>Page 1 of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13d-101)</w:t>
      </w:r>
    </w:p>
    <w:p>
      <w:pPr>
        <w:spacing w:after="0" w:line="205" w:lineRule="exact"/>
        <w:rPr>
          <w:sz w:val="24"/>
          <w:szCs w:val="24"/>
          <w:color w:val="auto"/>
        </w:rPr>
      </w:pPr>
    </w:p>
    <w:p>
      <w:pPr>
        <w:jc w:val="center"/>
        <w:ind w:left="260" w:right="268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RULE 13d-1(a) AND AMENDMENTS THERETO FILED PURSUANT TO RULE 13d-2(a)</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Opera Limited</w:t>
      </w:r>
    </w:p>
    <w:p>
      <w:pPr>
        <w:spacing w:after="0" w:line="40"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Common Stock, par value $0.0001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 of securities)</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68373M107 </w:t>
      </w:r>
      <w:r>
        <w:rPr>
          <w:rFonts w:ascii="Arial" w:cs="Arial" w:eastAsia="Arial" w:hAnsi="Arial"/>
          <w:sz w:val="30"/>
          <w:szCs w:val="30"/>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(CUSIP number)</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Xiaoling Qian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Telephone: +86 18701691083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Block B, Mingyang International Center, No. 46 Xizongbu Hutong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Dongcheng District, Beijing, 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25,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6" w:lineRule="exact"/>
        <w:rPr>
          <w:sz w:val="24"/>
          <w:szCs w:val="24"/>
          <w:color w:val="auto"/>
        </w:rPr>
      </w:pPr>
    </w:p>
    <w:p>
      <w:pPr>
        <w:ind w:right="5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4"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4"/>
          <w:szCs w:val="24"/>
          <w:color w:val="auto"/>
        </w:rPr>
      </w:pPr>
    </w:p>
    <w:p>
      <w:pPr>
        <w:ind w:left="460" w:right="1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4"/>
          <w:szCs w:val="24"/>
          <w:color w:val="auto"/>
        </w:rPr>
      </w:pPr>
    </w:p>
    <w:p>
      <w:pPr>
        <w:ind w:left="220" w:hanging="212"/>
        <w:spacing w:after="0"/>
        <w:tabs>
          <w:tab w:leader="none" w:pos="220"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This CUSIP number applies to the Issuer’s American Depositary Shares, each representing two ordinary shares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13D</w:t>
      </w:r>
    </w:p>
    <w:p>
      <w:pPr>
        <w:spacing w:after="0" w:line="225"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CUSIP No. 68373M107</w:t>
      </w:r>
      <w:r>
        <w:rPr>
          <w:sz w:val="20"/>
          <w:szCs w:val="20"/>
          <w:color w:val="auto"/>
        </w:rPr>
        <w:tab/>
      </w:r>
      <w:r>
        <w:rPr>
          <w:rFonts w:ascii="Arial" w:cs="Arial" w:eastAsia="Arial" w:hAnsi="Arial"/>
          <w:sz w:val="16"/>
          <w:szCs w:val="16"/>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48525" cy="5559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8525" cy="5559425"/>
                    </a:xfrm>
                    <a:prstGeom prst="rect">
                      <a:avLst/>
                    </a:prstGeom>
                    <a:noFill/>
                  </pic:spPr>
                </pic:pic>
              </a:graphicData>
            </a:graphic>
          </wp:anchor>
        </w:drawing>
      </w:r>
    </w:p>
    <w:p>
      <w:pPr>
        <w:spacing w:after="0" w:line="219" w:lineRule="exact"/>
        <w:rPr>
          <w:sz w:val="20"/>
          <w:szCs w:val="20"/>
          <w:color w:val="auto"/>
        </w:rPr>
      </w:pPr>
    </w:p>
    <w:p>
      <w:pPr>
        <w:ind w:left="840" w:right="8600" w:hanging="425"/>
        <w:spacing w:after="0" w:line="432"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Names of reporting persons Kunlun Tech Limited</w:t>
      </w:r>
    </w:p>
    <w:p>
      <w:pPr>
        <w:ind w:left="840" w:hanging="425"/>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840"/>
        <w:spacing w:after="0" w:line="207" w:lineRule="exact"/>
        <w:tabs>
          <w:tab w:leader="none" w:pos="16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29" w:lineRule="exact"/>
        <w:rPr>
          <w:sz w:val="20"/>
          <w:szCs w:val="20"/>
          <w:color w:val="auto"/>
        </w:rPr>
      </w:pPr>
    </w:p>
    <w:p>
      <w:pPr>
        <w:ind w:left="840" w:hanging="425"/>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840" w:right="8160" w:hanging="425"/>
        <w:spacing w:after="0" w:line="388"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 WC; OO</w:t>
      </w:r>
    </w:p>
    <w:p>
      <w:pPr>
        <w:ind w:left="840" w:hanging="425"/>
        <w:spacing w:after="0" w:line="207" w:lineRule="exact"/>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840" w:right="8020" w:hanging="425"/>
        <w:spacing w:after="0" w:line="384"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Hong Kong</w:t>
      </w:r>
    </w:p>
    <w:p>
      <w:pPr>
        <w:ind w:left="2240" w:hanging="353"/>
        <w:spacing w:after="0"/>
        <w:tabs>
          <w:tab w:leader="none" w:pos="2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1220" w:type="dxa"/>
            <w:vAlign w:val="bottom"/>
          </w:tcPr>
          <w:p>
            <w:pPr>
              <w:jc w:val="center"/>
              <w:ind w:right="290"/>
              <w:spacing w:after="0"/>
              <w:rPr>
                <w:sz w:val="20"/>
                <w:szCs w:val="20"/>
                <w:color w:val="auto"/>
              </w:rPr>
            </w:pPr>
            <w:r>
              <w:rPr>
                <w:rFonts w:ascii="Arial" w:cs="Arial" w:eastAsia="Arial" w:hAnsi="Arial"/>
                <w:sz w:val="18"/>
                <w:szCs w:val="18"/>
                <w:color w:val="auto"/>
                <w:w w:val="95"/>
              </w:rPr>
              <w:t>Number of</w:t>
            </w:r>
          </w:p>
        </w:tc>
        <w:tc>
          <w:tcPr>
            <w:tcW w:w="520" w:type="dxa"/>
            <w:vAlign w:val="bottom"/>
            <w:tcBorders>
              <w:bottom w:val="single" w:sz="8" w:color="auto"/>
            </w:tcBorders>
          </w:tcPr>
          <w:p>
            <w:pPr>
              <w:spacing w:after="0"/>
              <w:rPr>
                <w:sz w:val="20"/>
                <w:szCs w:val="20"/>
                <w:color w:val="auto"/>
              </w:rPr>
            </w:pPr>
          </w:p>
        </w:tc>
        <w:tc>
          <w:tcPr>
            <w:tcW w:w="9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104,500,000</w:t>
            </w:r>
          </w:p>
        </w:tc>
        <w:tc>
          <w:tcPr>
            <w:tcW w:w="0" w:type="dxa"/>
            <w:vAlign w:val="bottom"/>
          </w:tcPr>
          <w:p>
            <w:pPr>
              <w:spacing w:after="0"/>
              <w:rPr>
                <w:sz w:val="1"/>
                <w:szCs w:val="1"/>
                <w:color w:val="auto"/>
              </w:rPr>
            </w:pPr>
          </w:p>
        </w:tc>
      </w:tr>
      <w:tr>
        <w:trPr>
          <w:trHeight w:val="222"/>
        </w:trPr>
        <w:tc>
          <w:tcPr>
            <w:tcW w:w="1220" w:type="dxa"/>
            <w:vAlign w:val="bottom"/>
          </w:tcPr>
          <w:p>
            <w:pPr>
              <w:jc w:val="center"/>
              <w:ind w:right="290"/>
              <w:spacing w:after="0"/>
              <w:rPr>
                <w:sz w:val="20"/>
                <w:szCs w:val="20"/>
                <w:color w:val="auto"/>
              </w:rPr>
            </w:pPr>
            <w:r>
              <w:rPr>
                <w:rFonts w:ascii="Arial" w:cs="Arial" w:eastAsia="Arial" w:hAnsi="Arial"/>
                <w:sz w:val="18"/>
                <w:szCs w:val="18"/>
                <w:color w:val="auto"/>
                <w:w w:val="81"/>
              </w:rPr>
              <w:t>shares</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928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20" w:type="dxa"/>
            <w:vAlign w:val="bottom"/>
          </w:tcPr>
          <w:p>
            <w:pPr>
              <w:jc w:val="center"/>
              <w:ind w:right="290"/>
              <w:spacing w:after="0"/>
              <w:rPr>
                <w:sz w:val="20"/>
                <w:szCs w:val="20"/>
                <w:color w:val="auto"/>
              </w:rPr>
            </w:pPr>
            <w:r>
              <w:rPr>
                <w:rFonts w:ascii="Arial" w:cs="Arial" w:eastAsia="Arial" w:hAnsi="Arial"/>
                <w:sz w:val="18"/>
                <w:szCs w:val="18"/>
                <w:color w:val="auto"/>
                <w:w w:val="94"/>
              </w:rPr>
              <w:t>beneficially</w:t>
            </w:r>
          </w:p>
        </w:tc>
        <w:tc>
          <w:tcPr>
            <w:tcW w:w="520" w:type="dxa"/>
            <w:vAlign w:val="bottom"/>
          </w:tcPr>
          <w:p>
            <w:pPr>
              <w:spacing w:after="0"/>
              <w:rPr>
                <w:sz w:val="18"/>
                <w:szCs w:val="18"/>
                <w:color w:val="auto"/>
              </w:rPr>
            </w:pPr>
          </w:p>
        </w:tc>
        <w:tc>
          <w:tcPr>
            <w:tcW w:w="9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1220" w:type="dxa"/>
            <w:vAlign w:val="bottom"/>
          </w:tcPr>
          <w:p>
            <w:pPr>
              <w:jc w:val="center"/>
              <w:ind w:right="290"/>
              <w:spacing w:after="0" w:line="203" w:lineRule="exact"/>
              <w:rPr>
                <w:sz w:val="20"/>
                <w:szCs w:val="20"/>
                <w:color w:val="auto"/>
              </w:rPr>
            </w:pPr>
            <w:r>
              <w:rPr>
                <w:rFonts w:ascii="Arial" w:cs="Arial" w:eastAsia="Arial" w:hAnsi="Arial"/>
                <w:sz w:val="18"/>
                <w:szCs w:val="18"/>
                <w:color w:val="auto"/>
                <w:w w:val="93"/>
              </w:rPr>
              <w:t>owned by</w:t>
            </w:r>
          </w:p>
        </w:tc>
        <w:tc>
          <w:tcPr>
            <w:tcW w:w="520" w:type="dxa"/>
            <w:vAlign w:val="bottom"/>
            <w:tcBorders>
              <w:bottom w:val="single" w:sz="8" w:color="auto"/>
            </w:tcBorders>
          </w:tcPr>
          <w:p>
            <w:pPr>
              <w:spacing w:after="0"/>
              <w:rPr>
                <w:sz w:val="17"/>
                <w:szCs w:val="17"/>
                <w:color w:val="auto"/>
              </w:rPr>
            </w:pPr>
          </w:p>
        </w:tc>
        <w:tc>
          <w:tcPr>
            <w:tcW w:w="9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20" w:type="dxa"/>
            <w:vAlign w:val="bottom"/>
          </w:tcPr>
          <w:p>
            <w:pPr>
              <w:jc w:val="center"/>
              <w:ind w:right="290"/>
              <w:spacing w:after="0"/>
              <w:rPr>
                <w:sz w:val="20"/>
                <w:szCs w:val="20"/>
                <w:color w:val="auto"/>
              </w:rPr>
            </w:pPr>
            <w:r>
              <w:rPr>
                <w:rFonts w:ascii="Arial" w:cs="Arial" w:eastAsia="Arial" w:hAnsi="Arial"/>
                <w:sz w:val="18"/>
                <w:szCs w:val="18"/>
                <w:color w:val="auto"/>
                <w:w w:val="81"/>
              </w:rPr>
              <w:t>each</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9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20" w:type="dxa"/>
            <w:vAlign w:val="bottom"/>
          </w:tcPr>
          <w:p>
            <w:pPr>
              <w:jc w:val="center"/>
              <w:ind w:right="310"/>
              <w:spacing w:after="0"/>
              <w:rPr>
                <w:sz w:val="20"/>
                <w:szCs w:val="20"/>
                <w:color w:val="auto"/>
              </w:rPr>
            </w:pPr>
            <w:r>
              <w:rPr>
                <w:rFonts w:ascii="Arial" w:cs="Arial" w:eastAsia="Arial" w:hAnsi="Arial"/>
                <w:sz w:val="18"/>
                <w:szCs w:val="18"/>
                <w:color w:val="auto"/>
                <w:w w:val="92"/>
              </w:rPr>
              <w:t>reporting</w:t>
            </w:r>
          </w:p>
        </w:tc>
        <w:tc>
          <w:tcPr>
            <w:tcW w:w="520" w:type="dxa"/>
            <w:vAlign w:val="bottom"/>
          </w:tcPr>
          <w:p>
            <w:pPr>
              <w:spacing w:after="0"/>
              <w:rPr>
                <w:sz w:val="18"/>
                <w:szCs w:val="18"/>
                <w:color w:val="auto"/>
              </w:rPr>
            </w:pPr>
          </w:p>
        </w:tc>
        <w:tc>
          <w:tcPr>
            <w:tcW w:w="9280" w:type="dxa"/>
            <w:vAlign w:val="bottom"/>
            <w:vMerge w:val="restart"/>
          </w:tcPr>
          <w:p>
            <w:pPr>
              <w:ind w:left="60"/>
              <w:spacing w:after="0"/>
              <w:rPr>
                <w:sz w:val="20"/>
                <w:szCs w:val="20"/>
                <w:color w:val="auto"/>
              </w:rPr>
            </w:pPr>
            <w:r>
              <w:rPr>
                <w:rFonts w:ascii="Arial" w:cs="Arial" w:eastAsia="Arial" w:hAnsi="Arial"/>
                <w:sz w:val="18"/>
                <w:szCs w:val="18"/>
                <w:color w:val="auto"/>
              </w:rPr>
              <w:t>104,500,000</w:t>
            </w:r>
          </w:p>
        </w:tc>
        <w:tc>
          <w:tcPr>
            <w:tcW w:w="0" w:type="dxa"/>
            <w:vAlign w:val="bottom"/>
          </w:tcPr>
          <w:p>
            <w:pPr>
              <w:spacing w:after="0"/>
              <w:rPr>
                <w:sz w:val="1"/>
                <w:szCs w:val="1"/>
                <w:color w:val="auto"/>
              </w:rPr>
            </w:pPr>
          </w:p>
        </w:tc>
      </w:tr>
      <w:tr>
        <w:trPr>
          <w:trHeight w:val="217"/>
        </w:trPr>
        <w:tc>
          <w:tcPr>
            <w:tcW w:w="1220" w:type="dxa"/>
            <w:vAlign w:val="bottom"/>
          </w:tcPr>
          <w:p>
            <w:pPr>
              <w:jc w:val="center"/>
              <w:ind w:right="290"/>
              <w:spacing w:after="0"/>
              <w:rPr>
                <w:sz w:val="20"/>
                <w:szCs w:val="20"/>
                <w:color w:val="auto"/>
              </w:rPr>
            </w:pPr>
            <w:r>
              <w:rPr>
                <w:rFonts w:ascii="Arial" w:cs="Arial" w:eastAsia="Arial" w:hAnsi="Arial"/>
                <w:sz w:val="18"/>
                <w:szCs w:val="18"/>
                <w:color w:val="auto"/>
                <w:w w:val="87"/>
              </w:rPr>
              <w:t>person</w:t>
            </w:r>
          </w:p>
        </w:tc>
        <w:tc>
          <w:tcPr>
            <w:tcW w:w="520" w:type="dxa"/>
            <w:vAlign w:val="bottom"/>
            <w:tcBorders>
              <w:bottom w:val="single" w:sz="8" w:color="auto"/>
            </w:tcBorders>
          </w:tcPr>
          <w:p>
            <w:pPr>
              <w:spacing w:after="0"/>
              <w:rPr>
                <w:sz w:val="18"/>
                <w:szCs w:val="18"/>
                <w:color w:val="auto"/>
              </w:rPr>
            </w:pPr>
          </w:p>
        </w:tc>
        <w:tc>
          <w:tcPr>
            <w:tcW w:w="9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20" w:type="dxa"/>
            <w:vAlign w:val="bottom"/>
          </w:tcPr>
          <w:p>
            <w:pPr>
              <w:jc w:val="center"/>
              <w:ind w:right="290"/>
              <w:spacing w:after="0"/>
              <w:rPr>
                <w:sz w:val="20"/>
                <w:szCs w:val="20"/>
                <w:color w:val="auto"/>
              </w:rPr>
            </w:pPr>
            <w:r>
              <w:rPr>
                <w:rFonts w:ascii="Arial" w:cs="Arial" w:eastAsia="Arial" w:hAnsi="Arial"/>
                <w:sz w:val="18"/>
                <w:szCs w:val="18"/>
                <w:color w:val="auto"/>
                <w:w w:val="97"/>
              </w:rPr>
              <w:t>with:</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92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0</w:t>
      </w:r>
    </w:p>
    <w:p>
      <w:pPr>
        <w:spacing w:after="0" w:line="63" w:lineRule="exact"/>
        <w:rPr>
          <w:sz w:val="20"/>
          <w:szCs w:val="20"/>
          <w:color w:val="auto"/>
        </w:rPr>
      </w:pPr>
    </w:p>
    <w:p>
      <w:pPr>
        <w:ind w:left="840" w:right="6000" w:hanging="508"/>
        <w:spacing w:after="0" w:line="384" w:lineRule="auto"/>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104,500,000</w:t>
      </w:r>
    </w:p>
    <w:p>
      <w:pPr>
        <w:ind w:left="840" w:hanging="515"/>
        <w:spacing w:after="0" w:line="207" w:lineRule="exact"/>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37" w:lineRule="exact"/>
        <w:rPr>
          <w:rFonts w:ascii="Arial" w:cs="Arial" w:eastAsia="Arial" w:hAnsi="Arial"/>
          <w:sz w:val="18"/>
          <w:szCs w:val="18"/>
          <w:color w:val="auto"/>
        </w:rPr>
      </w:pPr>
    </w:p>
    <w:p>
      <w:pPr>
        <w:ind w:left="840" w:hanging="515"/>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5"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47.4%*</w:t>
      </w:r>
    </w:p>
    <w:p>
      <w:pPr>
        <w:spacing w:after="0" w:line="63" w:lineRule="exact"/>
        <w:rPr>
          <w:rFonts w:ascii="Arial" w:cs="Arial" w:eastAsia="Arial" w:hAnsi="Arial"/>
          <w:sz w:val="18"/>
          <w:szCs w:val="18"/>
          <w:color w:val="auto"/>
        </w:rPr>
      </w:pPr>
    </w:p>
    <w:p>
      <w:pPr>
        <w:ind w:left="840" w:hanging="515"/>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6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Calculation is based upon 220,576,326 ordinary shares outstanding of the Issuer as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80" w:type="dxa"/>
            <w:vAlign w:val="bottom"/>
          </w:tcPr>
          <w:p>
            <w:pPr>
              <w:ind w:left="2740"/>
              <w:spacing w:after="0"/>
              <w:rPr>
                <w:sz w:val="20"/>
                <w:szCs w:val="20"/>
                <w:color w:val="auto"/>
              </w:rPr>
            </w:pPr>
            <w:r>
              <w:rPr>
                <w:rFonts w:ascii="Arial" w:cs="Arial" w:eastAsia="Arial" w:hAnsi="Arial"/>
                <w:sz w:val="18"/>
                <w:szCs w:val="18"/>
                <w:color w:val="auto"/>
              </w:rPr>
              <w:t>SCHEDULE 13D</w:t>
            </w:r>
          </w:p>
        </w:tc>
        <w:tc>
          <w:tcPr>
            <w:tcW w:w="4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00" w:type="dxa"/>
            <w:vAlign w:val="bottom"/>
            <w:gridSpan w:val="4"/>
          </w:tcPr>
          <w:p>
            <w:pPr>
              <w:jc w:val="right"/>
              <w:ind w:right="70"/>
              <w:spacing w:after="0"/>
              <w:rPr>
                <w:sz w:val="20"/>
                <w:szCs w:val="20"/>
                <w:color w:val="auto"/>
              </w:rPr>
            </w:pPr>
            <w:r>
              <w:rPr>
                <w:rFonts w:ascii="Arial" w:cs="Arial" w:eastAsia="Arial" w:hAnsi="Arial"/>
                <w:sz w:val="18"/>
                <w:szCs w:val="18"/>
                <w:color w:val="auto"/>
                <w:w w:val="91"/>
              </w:rPr>
              <w:t>CUSIP No. 68373M107</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120" w:type="dxa"/>
            <w:vAlign w:val="bottom"/>
          </w:tcPr>
          <w:p>
            <w:pPr>
              <w:ind w:left="3300"/>
              <w:spacing w:after="0"/>
              <w:rPr>
                <w:sz w:val="20"/>
                <w:szCs w:val="20"/>
                <w:color w:val="auto"/>
              </w:rPr>
            </w:pPr>
            <w:r>
              <w:rPr>
                <w:rFonts w:ascii="Arial" w:cs="Arial" w:eastAsia="Arial" w:hAnsi="Arial"/>
                <w:sz w:val="18"/>
                <w:szCs w:val="18"/>
                <w:color w:val="auto"/>
                <w:w w:val="84"/>
              </w:rPr>
              <w:t>Page 3 of 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spacing w:after="0"/>
              <w:rPr>
                <w:sz w:val="18"/>
                <w:szCs w:val="18"/>
                <w:color w:val="auto"/>
              </w:rPr>
            </w:pPr>
          </w:p>
        </w:tc>
        <w:tc>
          <w:tcPr>
            <w:tcW w:w="498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160" w:type="dxa"/>
            <w:vAlign w:val="bottom"/>
            <w:tcBorders>
              <w:left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(1)</w:t>
            </w:r>
          </w:p>
        </w:tc>
        <w:tc>
          <w:tcPr>
            <w:tcW w:w="6120" w:type="dxa"/>
            <w:vAlign w:val="bottom"/>
            <w:gridSpan w:val="5"/>
          </w:tcPr>
          <w:p>
            <w:pPr>
              <w:spacing w:after="0"/>
              <w:rPr>
                <w:sz w:val="20"/>
                <w:szCs w:val="20"/>
                <w:color w:val="auto"/>
              </w:rPr>
            </w:pPr>
            <w:r>
              <w:rPr>
                <w:rFonts w:ascii="Arial" w:cs="Arial" w:eastAsia="Arial" w:hAnsi="Arial"/>
                <w:sz w:val="18"/>
                <w:szCs w:val="18"/>
                <w:color w:val="auto"/>
              </w:rPr>
              <w:t>Names of reporting persons</w:t>
            </w:r>
          </w:p>
        </w:tc>
        <w:tc>
          <w:tcPr>
            <w:tcW w:w="4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Beijing Kunlun Tech Co., Ltd.</w:t>
            </w:r>
          </w:p>
        </w:tc>
        <w:tc>
          <w:tcPr>
            <w:tcW w:w="4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60" w:type="dxa"/>
            <w:vAlign w:val="bottom"/>
            <w:tcBorders>
              <w:left w:val="single" w:sz="8" w:color="auto"/>
              <w:right w:val="single" w:sz="8" w:color="auto"/>
            </w:tcBorders>
          </w:tcPr>
          <w:p>
            <w:pPr>
              <w:jc w:val="right"/>
              <w:ind w:right="610"/>
              <w:spacing w:after="0" w:line="163" w:lineRule="exact"/>
              <w:rPr>
                <w:sz w:val="20"/>
                <w:szCs w:val="20"/>
                <w:color w:val="auto"/>
              </w:rPr>
            </w:pPr>
            <w:r>
              <w:rPr>
                <w:rFonts w:ascii="Arial" w:cs="Arial" w:eastAsia="Arial" w:hAnsi="Arial"/>
                <w:sz w:val="18"/>
                <w:szCs w:val="18"/>
                <w:color w:val="auto"/>
              </w:rPr>
              <w:t>(2)</w:t>
            </w:r>
          </w:p>
        </w:tc>
        <w:tc>
          <w:tcPr>
            <w:tcW w:w="6120" w:type="dxa"/>
            <w:vAlign w:val="bottom"/>
            <w:gridSpan w:val="5"/>
          </w:tcPr>
          <w:p>
            <w:pPr>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4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160" w:type="dxa"/>
            <w:vAlign w:val="bottom"/>
            <w:tcBorders>
              <w:left w:val="single" w:sz="8" w:color="auto"/>
              <w:right w:val="single" w:sz="8" w:color="auto"/>
            </w:tcBorders>
          </w:tcPr>
          <w:p>
            <w:pPr>
              <w:spacing w:after="0"/>
              <w:rPr>
                <w:sz w:val="24"/>
                <w:szCs w:val="24"/>
                <w:color w:val="auto"/>
              </w:rPr>
            </w:pPr>
          </w:p>
        </w:tc>
        <w:tc>
          <w:tcPr>
            <w:tcW w:w="72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(b)</w:t>
            </w:r>
          </w:p>
        </w:tc>
        <w:tc>
          <w:tcPr>
            <w:tcW w:w="506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16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41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160" w:type="dxa"/>
            <w:vAlign w:val="bottom"/>
            <w:tcBorders>
              <w:left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(3)</w:t>
            </w:r>
          </w:p>
        </w:tc>
        <w:tc>
          <w:tcPr>
            <w:tcW w:w="1060" w:type="dxa"/>
            <w:vAlign w:val="bottom"/>
            <w:gridSpan w:val="3"/>
          </w:tcPr>
          <w:p>
            <w:pPr>
              <w:spacing w:after="0"/>
              <w:rPr>
                <w:sz w:val="20"/>
                <w:szCs w:val="20"/>
                <w:color w:val="auto"/>
              </w:rPr>
            </w:pPr>
            <w:r>
              <w:rPr>
                <w:rFonts w:ascii="Arial" w:cs="Arial" w:eastAsia="Arial" w:hAnsi="Arial"/>
                <w:sz w:val="18"/>
                <w:szCs w:val="18"/>
                <w:color w:val="auto"/>
                <w:w w:val="95"/>
              </w:rPr>
              <w:t>SEC use only</w:t>
            </w:r>
          </w:p>
        </w:tc>
        <w:tc>
          <w:tcPr>
            <w:tcW w:w="8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4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6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41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160" w:type="dxa"/>
            <w:vAlign w:val="bottom"/>
            <w:tcBorders>
              <w:left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(4)</w:t>
            </w:r>
          </w:p>
        </w:tc>
        <w:tc>
          <w:tcPr>
            <w:tcW w:w="6120" w:type="dxa"/>
            <w:vAlign w:val="bottom"/>
            <w:gridSpan w:val="5"/>
          </w:tcPr>
          <w:p>
            <w:pPr>
              <w:spacing w:after="0"/>
              <w:rPr>
                <w:sz w:val="20"/>
                <w:szCs w:val="20"/>
                <w:color w:val="auto"/>
              </w:rPr>
            </w:pPr>
            <w:r>
              <w:rPr>
                <w:rFonts w:ascii="Arial" w:cs="Arial" w:eastAsia="Arial" w:hAnsi="Arial"/>
                <w:sz w:val="18"/>
                <w:szCs w:val="18"/>
                <w:color w:val="auto"/>
              </w:rPr>
              <w:t>Source of funds (see instructions)</w:t>
            </w:r>
          </w:p>
        </w:tc>
        <w:tc>
          <w:tcPr>
            <w:tcW w:w="4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60" w:type="dxa"/>
            <w:vAlign w:val="bottom"/>
            <w:tcBorders>
              <w:left w:val="single" w:sz="8" w:color="auto"/>
              <w:right w:val="single" w:sz="8" w:color="auto"/>
            </w:tcBorders>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WC; OO</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16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1160" w:type="dxa"/>
            <w:vAlign w:val="bottom"/>
            <w:tcBorders>
              <w:left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(5)</w:t>
            </w:r>
          </w:p>
        </w:tc>
        <w:tc>
          <w:tcPr>
            <w:tcW w:w="6120" w:type="dxa"/>
            <w:vAlign w:val="bottom"/>
            <w:gridSpan w:val="5"/>
          </w:tcPr>
          <w:p>
            <w:pPr>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12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spacing w:after="0"/>
              <w:rPr>
                <w:sz w:val="12"/>
                <w:szCs w:val="12"/>
                <w:color w:val="auto"/>
              </w:rPr>
            </w:pPr>
          </w:p>
        </w:tc>
        <w:tc>
          <w:tcPr>
            <w:tcW w:w="4980" w:type="dxa"/>
            <w:vAlign w:val="bottom"/>
            <w:tcBorders>
              <w:bottom w:val="single" w:sz="8" w:color="auto"/>
            </w:tcBorders>
          </w:tcPr>
          <w:p>
            <w:pPr>
              <w:spacing w:after="0"/>
              <w:rPr>
                <w:sz w:val="12"/>
                <w:szCs w:val="12"/>
                <w:color w:val="auto"/>
              </w:rPr>
            </w:pPr>
          </w:p>
        </w:tc>
        <w:tc>
          <w:tcPr>
            <w:tcW w:w="4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160" w:type="dxa"/>
            <w:vAlign w:val="bottom"/>
            <w:tcBorders>
              <w:left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(6)</w:t>
            </w:r>
          </w:p>
        </w:tc>
        <w:tc>
          <w:tcPr>
            <w:tcW w:w="612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4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People’s Republic of China</w:t>
            </w:r>
          </w:p>
        </w:tc>
        <w:tc>
          <w:tcPr>
            <w:tcW w:w="4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4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6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Borders>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104,500,000</w:t>
            </w:r>
          </w:p>
        </w:tc>
        <w:tc>
          <w:tcPr>
            <w:tcW w:w="4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100" w:type="dxa"/>
            <w:vAlign w:val="bottom"/>
            <w:tcBorders>
              <w:right w:val="single" w:sz="8" w:color="auto"/>
            </w:tcBorders>
          </w:tcPr>
          <w:p>
            <w:pPr>
              <w:spacing w:after="0"/>
              <w:rPr>
                <w:sz w:val="19"/>
                <w:szCs w:val="19"/>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4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4"/>
              </w:rPr>
              <w:t>beneficially</w:t>
            </w:r>
          </w:p>
        </w:tc>
        <w:tc>
          <w:tcPr>
            <w:tcW w:w="1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498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4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tcBorders>
              <w:left w:val="single" w:sz="8" w:color="auto"/>
            </w:tcBorders>
          </w:tcPr>
          <w:p>
            <w:pPr>
              <w:jc w:val="center"/>
              <w:spacing w:after="0" w:line="203" w:lineRule="exact"/>
              <w:rPr>
                <w:sz w:val="20"/>
                <w:szCs w:val="20"/>
                <w:color w:val="auto"/>
              </w:rPr>
            </w:pPr>
            <w:r>
              <w:rPr>
                <w:rFonts w:ascii="Arial" w:cs="Arial" w:eastAsia="Arial" w:hAnsi="Arial"/>
                <w:sz w:val="18"/>
                <w:szCs w:val="18"/>
                <w:color w:val="auto"/>
                <w:w w:val="90"/>
              </w:rPr>
              <w:t>owned by</w:t>
            </w:r>
          </w:p>
        </w:tc>
        <w:tc>
          <w:tcPr>
            <w:tcW w:w="100" w:type="dxa"/>
            <w:vAlign w:val="bottom"/>
            <w:tcBorders>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4980" w:type="dxa"/>
            <w:vAlign w:val="bottom"/>
            <w:tcBorders>
              <w:bottom w:val="single" w:sz="8" w:color="auto"/>
            </w:tcBorders>
            <w:vMerge w:val="continue"/>
          </w:tcPr>
          <w:p>
            <w:pPr>
              <w:spacing w:after="0"/>
              <w:rPr>
                <w:sz w:val="17"/>
                <w:szCs w:val="17"/>
                <w:color w:val="auto"/>
              </w:rPr>
            </w:pPr>
          </w:p>
        </w:tc>
        <w:tc>
          <w:tcPr>
            <w:tcW w:w="41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1"/>
              </w:rPr>
              <w:t>each</w:t>
            </w:r>
          </w:p>
        </w:tc>
        <w:tc>
          <w:tcPr>
            <w:tcW w:w="100" w:type="dxa"/>
            <w:vAlign w:val="bottom"/>
            <w:tcBorders>
              <w:right w:val="single" w:sz="8" w:color="auto"/>
            </w:tcBorders>
          </w:tcPr>
          <w:p>
            <w:pPr>
              <w:spacing w:after="0"/>
              <w:rPr>
                <w:sz w:val="18"/>
                <w:szCs w:val="18"/>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Sole dispositive power</w:t>
            </w:r>
          </w:p>
        </w:tc>
        <w:tc>
          <w:tcPr>
            <w:tcW w:w="4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2"/>
              </w:rPr>
              <w:t>reporting</w:t>
            </w:r>
          </w:p>
        </w:tc>
        <w:tc>
          <w:tcPr>
            <w:tcW w:w="1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4980" w:type="dxa"/>
            <w:vAlign w:val="bottom"/>
            <w:vMerge w:val="restart"/>
          </w:tcPr>
          <w:p>
            <w:pPr>
              <w:ind w:left="140"/>
              <w:spacing w:after="0"/>
              <w:rPr>
                <w:sz w:val="20"/>
                <w:szCs w:val="20"/>
                <w:color w:val="auto"/>
              </w:rPr>
            </w:pPr>
            <w:r>
              <w:rPr>
                <w:rFonts w:ascii="Arial" w:cs="Arial" w:eastAsia="Arial" w:hAnsi="Arial"/>
                <w:sz w:val="18"/>
                <w:szCs w:val="18"/>
                <w:color w:val="auto"/>
              </w:rPr>
              <w:t>104,500,000</w:t>
            </w:r>
          </w:p>
        </w:tc>
        <w:tc>
          <w:tcPr>
            <w:tcW w:w="4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6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7"/>
              </w:rPr>
              <w:t>person</w:t>
            </w:r>
          </w:p>
        </w:tc>
        <w:tc>
          <w:tcPr>
            <w:tcW w:w="100" w:type="dxa"/>
            <w:vAlign w:val="bottom"/>
            <w:tcBorders>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4980" w:type="dxa"/>
            <w:vAlign w:val="bottom"/>
            <w:tcBorders>
              <w:bottom w:val="single" w:sz="8" w:color="auto"/>
            </w:tcBorders>
            <w:vMerge w:val="continue"/>
          </w:tcPr>
          <w:p>
            <w:pPr>
              <w:spacing w:after="0"/>
              <w:rPr>
                <w:sz w:val="18"/>
                <w:szCs w:val="18"/>
                <w:color w:val="auto"/>
              </w:rPr>
            </w:pPr>
          </w:p>
        </w:tc>
        <w:tc>
          <w:tcPr>
            <w:tcW w:w="4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7"/>
              </w:rPr>
              <w:t>with:</w:t>
            </w:r>
          </w:p>
        </w:tc>
        <w:tc>
          <w:tcPr>
            <w:tcW w:w="100" w:type="dxa"/>
            <w:vAlign w:val="bottom"/>
            <w:tcBorders>
              <w:right w:val="single" w:sz="8" w:color="auto"/>
            </w:tcBorders>
          </w:tcPr>
          <w:p>
            <w:pPr>
              <w:spacing w:after="0"/>
              <w:rPr>
                <w:sz w:val="19"/>
                <w:szCs w:val="19"/>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color w:val="auto"/>
                <w:w w:val="99"/>
              </w:rPr>
              <w:t>(10)</w:t>
            </w:r>
          </w:p>
        </w:tc>
        <w:tc>
          <w:tcPr>
            <w:tcW w:w="3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4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980" w:type="dxa"/>
            <w:vAlign w:val="bottom"/>
          </w:tcPr>
          <w:p>
            <w:pPr>
              <w:ind w:left="100"/>
              <w:spacing w:after="0"/>
              <w:rPr>
                <w:sz w:val="20"/>
                <w:szCs w:val="20"/>
                <w:color w:val="auto"/>
              </w:rPr>
            </w:pPr>
            <w:r>
              <w:rPr>
                <w:rFonts w:ascii="Arial" w:cs="Arial" w:eastAsia="Arial" w:hAnsi="Arial"/>
                <w:sz w:val="18"/>
                <w:szCs w:val="18"/>
                <w:color w:val="auto"/>
              </w:rPr>
              <w:t>0</w:t>
            </w:r>
          </w:p>
        </w:tc>
        <w:tc>
          <w:tcPr>
            <w:tcW w:w="4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160" w:type="dxa"/>
            <w:vAlign w:val="bottom"/>
            <w:tcBorders>
              <w:left w:val="single" w:sz="8" w:color="auto"/>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gridSpan w:val="3"/>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160" w:type="dxa"/>
            <w:vAlign w:val="bottom"/>
            <w:tcBorders>
              <w:left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(11)</w:t>
            </w:r>
          </w:p>
        </w:tc>
        <w:tc>
          <w:tcPr>
            <w:tcW w:w="612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4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104,500,000</w:t>
            </w:r>
          </w:p>
        </w:tc>
        <w:tc>
          <w:tcPr>
            <w:tcW w:w="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4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tcBorders>
              <w:left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(12)</w:t>
            </w:r>
          </w:p>
        </w:tc>
        <w:tc>
          <w:tcPr>
            <w:tcW w:w="6120" w:type="dxa"/>
            <w:vAlign w:val="bottom"/>
            <w:gridSpan w:val="5"/>
          </w:tcPr>
          <w:p>
            <w:pPr>
              <w:spacing w:after="0"/>
              <w:rPr>
                <w:sz w:val="20"/>
                <w:szCs w:val="20"/>
                <w:color w:val="auto"/>
              </w:rPr>
            </w:pPr>
            <w:r>
              <w:rPr>
                <w:rFonts w:ascii="Arial" w:cs="Arial" w:eastAsia="Arial" w:hAnsi="Arial"/>
                <w:sz w:val="18"/>
                <w:szCs w:val="18"/>
                <w:color w:val="auto"/>
                <w:w w:val="89"/>
              </w:rPr>
              <w:t>Check if the aggregate amount in Row (11) excludes certain shares (see instructions)</w:t>
            </w:r>
          </w:p>
        </w:tc>
        <w:tc>
          <w:tcPr>
            <w:tcW w:w="412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120" w:type="dxa"/>
            <w:vAlign w:val="bottom"/>
            <w:tcBorders>
              <w:bottom w:val="single" w:sz="8" w:color="auto"/>
            </w:tcBorders>
            <w:gridSpan w:val="5"/>
          </w:tcPr>
          <w:p>
            <w:pPr>
              <w:spacing w:after="0"/>
              <w:rPr>
                <w:sz w:val="12"/>
                <w:szCs w:val="12"/>
                <w:color w:val="auto"/>
              </w:rPr>
            </w:pPr>
          </w:p>
        </w:tc>
        <w:tc>
          <w:tcPr>
            <w:tcW w:w="4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160" w:type="dxa"/>
            <w:vAlign w:val="bottom"/>
            <w:tcBorders>
              <w:left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(13)</w:t>
            </w:r>
          </w:p>
        </w:tc>
        <w:tc>
          <w:tcPr>
            <w:tcW w:w="612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(11)</w:t>
            </w:r>
          </w:p>
        </w:tc>
        <w:tc>
          <w:tcPr>
            <w:tcW w:w="4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60" w:type="dxa"/>
            <w:vAlign w:val="bottom"/>
            <w:tcBorders>
              <w:left w:val="single" w:sz="8" w:color="auto"/>
              <w:right w:val="single" w:sz="8" w:color="auto"/>
            </w:tcBorders>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47.4%*</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160" w:type="dxa"/>
            <w:vAlign w:val="bottom"/>
            <w:tcBorders>
              <w:left w:val="single" w:sz="8" w:color="auto"/>
              <w:bottom w:val="single" w:sz="8" w:color="auto"/>
              <w:right w:val="single" w:sz="8" w:color="auto"/>
            </w:tcBorders>
          </w:tcPr>
          <w:p>
            <w:pPr>
              <w:spacing w:after="0"/>
              <w:rPr>
                <w:sz w:val="3"/>
                <w:szCs w:val="3"/>
                <w:color w:val="auto"/>
              </w:rPr>
            </w:pPr>
          </w:p>
        </w:tc>
        <w:tc>
          <w:tcPr>
            <w:tcW w:w="6120" w:type="dxa"/>
            <w:vAlign w:val="bottom"/>
            <w:tcBorders>
              <w:bottom w:val="single" w:sz="8" w:color="auto"/>
            </w:tcBorders>
            <w:gridSpan w:val="5"/>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160" w:type="dxa"/>
            <w:vAlign w:val="bottom"/>
            <w:tcBorders>
              <w:left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(14)</w:t>
            </w:r>
          </w:p>
        </w:tc>
        <w:tc>
          <w:tcPr>
            <w:tcW w:w="6120" w:type="dxa"/>
            <w:vAlign w:val="bottom"/>
            <w:gridSpan w:val="5"/>
          </w:tcPr>
          <w:p>
            <w:pPr>
              <w:spacing w:after="0"/>
              <w:rPr>
                <w:sz w:val="20"/>
                <w:szCs w:val="20"/>
                <w:color w:val="auto"/>
              </w:rPr>
            </w:pPr>
            <w:r>
              <w:rPr>
                <w:rFonts w:ascii="Arial" w:cs="Arial" w:eastAsia="Arial" w:hAnsi="Arial"/>
                <w:sz w:val="18"/>
                <w:szCs w:val="18"/>
                <w:color w:val="auto"/>
              </w:rPr>
              <w:t>Type of reporting person (see instructions)</w:t>
            </w:r>
          </w:p>
        </w:tc>
        <w:tc>
          <w:tcPr>
            <w:tcW w:w="4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4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 Calculation is based upon 220,576,326 ordinary shares outstanding of the Issuer as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60" w:type="dxa"/>
            <w:vAlign w:val="bottom"/>
          </w:tcPr>
          <w:p>
            <w:pPr>
              <w:ind w:left="1840"/>
              <w:spacing w:after="0"/>
              <w:rPr>
                <w:sz w:val="20"/>
                <w:szCs w:val="20"/>
                <w:color w:val="auto"/>
              </w:rPr>
            </w:pPr>
            <w:r>
              <w:rPr>
                <w:rFonts w:ascii="Arial" w:cs="Arial" w:eastAsia="Arial" w:hAnsi="Arial"/>
                <w:sz w:val="18"/>
                <w:szCs w:val="18"/>
                <w:color w:val="auto"/>
              </w:rPr>
              <w:t>SCHEDULE 13D</w:t>
            </w: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gridSpan w:val="4"/>
          </w:tcPr>
          <w:p>
            <w:pPr>
              <w:jc w:val="right"/>
              <w:ind w:right="450"/>
              <w:spacing w:after="0"/>
              <w:rPr>
                <w:sz w:val="20"/>
                <w:szCs w:val="20"/>
                <w:color w:val="auto"/>
              </w:rPr>
            </w:pPr>
            <w:r>
              <w:rPr>
                <w:rFonts w:ascii="Arial" w:cs="Arial" w:eastAsia="Arial" w:hAnsi="Arial"/>
                <w:sz w:val="18"/>
                <w:szCs w:val="18"/>
                <w:color w:val="auto"/>
                <w:w w:val="91"/>
              </w:rPr>
              <w:t>CUSIP No. 68373M107</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740" w:type="dxa"/>
            <w:vAlign w:val="bottom"/>
          </w:tcPr>
          <w:p>
            <w:pPr>
              <w:ind w:left="2920"/>
              <w:spacing w:after="0"/>
              <w:rPr>
                <w:sz w:val="20"/>
                <w:szCs w:val="20"/>
                <w:color w:val="auto"/>
              </w:rPr>
            </w:pPr>
            <w:r>
              <w:rPr>
                <w:rFonts w:ascii="Arial" w:cs="Arial" w:eastAsia="Arial" w:hAnsi="Arial"/>
                <w:sz w:val="18"/>
                <w:szCs w:val="18"/>
                <w:color w:val="auto"/>
                <w:w w:val="84"/>
              </w:rPr>
              <w:t>Page 4 of 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540" w:type="dxa"/>
            <w:vAlign w:val="bottom"/>
            <w:tcBorders>
              <w:left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rPr>
              <w:t>(1)</w:t>
            </w:r>
          </w:p>
        </w:tc>
        <w:tc>
          <w:tcPr>
            <w:tcW w:w="6120" w:type="dxa"/>
            <w:vAlign w:val="bottom"/>
            <w:gridSpan w:val="5"/>
          </w:tcPr>
          <w:p>
            <w:pPr>
              <w:spacing w:after="0"/>
              <w:rPr>
                <w:sz w:val="20"/>
                <w:szCs w:val="20"/>
                <w:color w:val="auto"/>
              </w:rPr>
            </w:pPr>
            <w:r>
              <w:rPr>
                <w:rFonts w:ascii="Arial" w:cs="Arial" w:eastAsia="Arial" w:hAnsi="Arial"/>
                <w:sz w:val="18"/>
                <w:szCs w:val="18"/>
                <w:color w:val="auto"/>
              </w:rPr>
              <w:t>Names of reporting persons</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Yahui Zhou</w:t>
            </w:r>
          </w:p>
        </w:tc>
        <w:tc>
          <w:tcPr>
            <w:tcW w:w="6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40" w:type="dxa"/>
            <w:vAlign w:val="bottom"/>
            <w:tcBorders>
              <w:left w:val="single" w:sz="8" w:color="auto"/>
              <w:right w:val="single" w:sz="8" w:color="auto"/>
            </w:tcBorders>
          </w:tcPr>
          <w:p>
            <w:pPr>
              <w:jc w:val="right"/>
              <w:ind w:right="1150"/>
              <w:spacing w:after="0" w:line="163" w:lineRule="exact"/>
              <w:rPr>
                <w:sz w:val="20"/>
                <w:szCs w:val="20"/>
                <w:color w:val="auto"/>
              </w:rPr>
            </w:pPr>
            <w:r>
              <w:rPr>
                <w:rFonts w:ascii="Arial" w:cs="Arial" w:eastAsia="Arial" w:hAnsi="Arial"/>
                <w:sz w:val="18"/>
                <w:szCs w:val="18"/>
                <w:color w:val="auto"/>
              </w:rPr>
              <w:t>(2)</w:t>
            </w:r>
          </w:p>
        </w:tc>
        <w:tc>
          <w:tcPr>
            <w:tcW w:w="6120" w:type="dxa"/>
            <w:vAlign w:val="bottom"/>
            <w:gridSpan w:val="5"/>
          </w:tcPr>
          <w:p>
            <w:pPr>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3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540" w:type="dxa"/>
            <w:vAlign w:val="bottom"/>
            <w:tcBorders>
              <w:left w:val="single" w:sz="8" w:color="auto"/>
              <w:right w:val="single" w:sz="8" w:color="auto"/>
            </w:tcBorders>
          </w:tcPr>
          <w:p>
            <w:pPr>
              <w:spacing w:after="0"/>
              <w:rPr>
                <w:sz w:val="24"/>
                <w:szCs w:val="24"/>
                <w:color w:val="auto"/>
              </w:rPr>
            </w:pPr>
          </w:p>
        </w:tc>
        <w:tc>
          <w:tcPr>
            <w:tcW w:w="72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w w:val="99"/>
              </w:rPr>
              <w:t>(b)</w:t>
            </w:r>
          </w:p>
        </w:tc>
        <w:tc>
          <w:tcPr>
            <w:tcW w:w="50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540" w:type="dxa"/>
            <w:vAlign w:val="bottom"/>
            <w:tcBorders>
              <w:left w:val="single" w:sz="8" w:color="auto"/>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540" w:type="dxa"/>
            <w:vAlign w:val="bottom"/>
            <w:tcBorders>
              <w:left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rPr>
              <w:t>(3)</w:t>
            </w:r>
          </w:p>
        </w:tc>
        <w:tc>
          <w:tcPr>
            <w:tcW w:w="1060" w:type="dxa"/>
            <w:vAlign w:val="bottom"/>
            <w:gridSpan w:val="3"/>
          </w:tcPr>
          <w:p>
            <w:pPr>
              <w:spacing w:after="0"/>
              <w:rPr>
                <w:sz w:val="20"/>
                <w:szCs w:val="20"/>
                <w:color w:val="auto"/>
              </w:rPr>
            </w:pPr>
            <w:r>
              <w:rPr>
                <w:rFonts w:ascii="Arial" w:cs="Arial" w:eastAsia="Arial" w:hAnsi="Arial"/>
                <w:sz w:val="18"/>
                <w:szCs w:val="18"/>
                <w:color w:val="auto"/>
                <w:w w:val="95"/>
              </w:rPr>
              <w:t>SEC use only</w:t>
            </w:r>
          </w:p>
        </w:tc>
        <w:tc>
          <w:tcPr>
            <w:tcW w:w="6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540" w:type="dxa"/>
            <w:vAlign w:val="bottom"/>
            <w:tcBorders>
              <w:left w:val="single" w:sz="8" w:color="auto"/>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spacing w:after="0"/>
              <w:rPr>
                <w:sz w:val="17"/>
                <w:szCs w:val="17"/>
                <w:color w:val="auto"/>
              </w:rPr>
            </w:pPr>
          </w:p>
        </w:tc>
        <w:tc>
          <w:tcPr>
            <w:tcW w:w="4460" w:type="dxa"/>
            <w:vAlign w:val="bottom"/>
            <w:tcBorders>
              <w:bottom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540" w:type="dxa"/>
            <w:vAlign w:val="bottom"/>
            <w:tcBorders>
              <w:left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rPr>
              <w:t>(4)</w:t>
            </w:r>
          </w:p>
        </w:tc>
        <w:tc>
          <w:tcPr>
            <w:tcW w:w="6120" w:type="dxa"/>
            <w:vAlign w:val="bottom"/>
            <w:gridSpan w:val="5"/>
          </w:tcPr>
          <w:p>
            <w:pPr>
              <w:spacing w:after="0"/>
              <w:rPr>
                <w:sz w:val="20"/>
                <w:szCs w:val="20"/>
                <w:color w:val="auto"/>
              </w:rPr>
            </w:pPr>
            <w:r>
              <w:rPr>
                <w:rFonts w:ascii="Arial" w:cs="Arial" w:eastAsia="Arial" w:hAnsi="Arial"/>
                <w:sz w:val="18"/>
                <w:szCs w:val="18"/>
                <w:color w:val="auto"/>
              </w:rPr>
              <w:t>Source of funds (see instructions)</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40" w:type="dxa"/>
            <w:vAlign w:val="bottom"/>
            <w:tcBorders>
              <w:left w:val="single" w:sz="8" w:color="auto"/>
              <w:right w:val="single" w:sz="8" w:color="auto"/>
            </w:tcBorders>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WC; OO</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3"/>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1540" w:type="dxa"/>
            <w:vAlign w:val="bottom"/>
            <w:tcBorders>
              <w:left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rPr>
              <w:t>(5)</w:t>
            </w:r>
          </w:p>
        </w:tc>
        <w:tc>
          <w:tcPr>
            <w:tcW w:w="6120" w:type="dxa"/>
            <w:vAlign w:val="bottom"/>
            <w:gridSpan w:val="5"/>
          </w:tcPr>
          <w:p>
            <w:pPr>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374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540" w:type="dxa"/>
            <w:vAlign w:val="bottom"/>
            <w:tcBorders>
              <w:left w:val="single" w:sz="8" w:color="auto"/>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spacing w:after="0"/>
              <w:rPr>
                <w:sz w:val="12"/>
                <w:szCs w:val="12"/>
                <w:color w:val="auto"/>
              </w:rPr>
            </w:pPr>
          </w:p>
        </w:tc>
        <w:tc>
          <w:tcPr>
            <w:tcW w:w="4460" w:type="dxa"/>
            <w:vAlign w:val="bottom"/>
            <w:tcBorders>
              <w:bottom w:val="single" w:sz="8" w:color="auto"/>
            </w:tcBorders>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540" w:type="dxa"/>
            <w:vAlign w:val="bottom"/>
            <w:tcBorders>
              <w:left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rPr>
              <w:t>(6)</w:t>
            </w:r>
          </w:p>
        </w:tc>
        <w:tc>
          <w:tcPr>
            <w:tcW w:w="612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Hong Kong</w:t>
            </w:r>
          </w:p>
        </w:tc>
        <w:tc>
          <w:tcPr>
            <w:tcW w:w="6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tcBorders>
              <w:left w:val="single" w:sz="8" w:color="auto"/>
              <w:right w:val="single" w:sz="8" w:color="auto"/>
            </w:tcBorders>
          </w:tcPr>
          <w:p>
            <w:pPr>
              <w:spacing w:after="0"/>
              <w:rPr>
                <w:sz w:val="19"/>
                <w:szCs w:val="19"/>
                <w:color w:val="auto"/>
              </w:rPr>
            </w:pP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143,500,000</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40" w:type="dxa"/>
            <w:vAlign w:val="bottom"/>
          </w:tcPr>
          <w:p>
            <w:pPr>
              <w:spacing w:after="0"/>
              <w:rPr>
                <w:sz w:val="19"/>
                <w:szCs w:val="19"/>
                <w:color w:val="auto"/>
              </w:rPr>
            </w:pP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beneficially</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46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3"/>
              </w:rPr>
              <w:t>owned by</w:t>
            </w: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4460" w:type="dxa"/>
            <w:vAlign w:val="bottom"/>
            <w:tcBorders>
              <w:bottom w:val="single" w:sz="8" w:color="auto"/>
            </w:tcBorders>
            <w:vMerge w:val="continue"/>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1"/>
              </w:rPr>
              <w:t>each</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460" w:type="dxa"/>
            <w:vAlign w:val="bottom"/>
            <w:vMerge w:val="restart"/>
          </w:tcPr>
          <w:p>
            <w:pPr>
              <w:ind w:left="80"/>
              <w:spacing w:after="0"/>
              <w:rPr>
                <w:sz w:val="20"/>
                <w:szCs w:val="20"/>
                <w:color w:val="auto"/>
              </w:rPr>
            </w:pPr>
            <w:r>
              <w:rPr>
                <w:rFonts w:ascii="Arial" w:cs="Arial" w:eastAsia="Arial" w:hAnsi="Arial"/>
                <w:sz w:val="18"/>
                <w:szCs w:val="18"/>
                <w:color w:val="auto"/>
              </w:rPr>
              <w:t>143,500,000</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person</w:t>
            </w: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tcBorders>
            <w:vMerge w:val="continue"/>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with:</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rPr>
              <w:t>0</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1620" w:type="dxa"/>
            <w:vAlign w:val="bottom"/>
            <w:tcBorders>
              <w:bottom w:val="single" w:sz="8" w:color="auto"/>
              <w:right w:val="single" w:sz="8" w:color="auto"/>
            </w:tcBorders>
            <w:gridSpan w:val="3"/>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540" w:type="dxa"/>
            <w:vAlign w:val="bottom"/>
            <w:tcBorders>
              <w:left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w w:val="87"/>
              </w:rPr>
              <w:t>(11)</w:t>
            </w:r>
          </w:p>
        </w:tc>
        <w:tc>
          <w:tcPr>
            <w:tcW w:w="40" w:type="dxa"/>
            <w:vAlign w:val="bottom"/>
            <w:vMerge w:val="continue"/>
          </w:tcPr>
          <w:p>
            <w:pPr>
              <w:spacing w:after="0"/>
              <w:rPr>
                <w:sz w:val="19"/>
                <w:szCs w:val="19"/>
                <w:color w:val="auto"/>
              </w:rPr>
            </w:pPr>
          </w:p>
        </w:tc>
        <w:tc>
          <w:tcPr>
            <w:tcW w:w="608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143,500,000</w:t>
            </w:r>
          </w:p>
        </w:tc>
        <w:tc>
          <w:tcPr>
            <w:tcW w:w="6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540" w:type="dxa"/>
            <w:vAlign w:val="bottom"/>
            <w:tcBorders>
              <w:left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w w:val="87"/>
              </w:rPr>
              <w:t>(12)</w:t>
            </w:r>
          </w:p>
        </w:tc>
        <w:tc>
          <w:tcPr>
            <w:tcW w:w="6120" w:type="dxa"/>
            <w:vAlign w:val="bottom"/>
            <w:gridSpan w:val="5"/>
          </w:tcPr>
          <w:p>
            <w:pPr>
              <w:spacing w:after="0"/>
              <w:rPr>
                <w:sz w:val="20"/>
                <w:szCs w:val="20"/>
                <w:color w:val="auto"/>
              </w:rPr>
            </w:pPr>
            <w:r>
              <w:rPr>
                <w:rFonts w:ascii="Arial" w:cs="Arial" w:eastAsia="Arial" w:hAnsi="Arial"/>
                <w:sz w:val="18"/>
                <w:szCs w:val="18"/>
                <w:color w:val="auto"/>
                <w:w w:val="89"/>
              </w:rPr>
              <w:t>Check if the aggregate amount in Row (11) excludes certain shares (see instructions)</w:t>
            </w:r>
          </w:p>
        </w:tc>
        <w:tc>
          <w:tcPr>
            <w:tcW w:w="374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540" w:type="dxa"/>
            <w:vAlign w:val="bottom"/>
            <w:tcBorders>
              <w:left w:val="single" w:sz="8" w:color="auto"/>
              <w:bottom w:val="single" w:sz="8" w:color="auto"/>
              <w:right w:val="single" w:sz="8" w:color="auto"/>
            </w:tcBorders>
          </w:tcPr>
          <w:p>
            <w:pPr>
              <w:spacing w:after="0"/>
              <w:rPr>
                <w:sz w:val="12"/>
                <w:szCs w:val="12"/>
                <w:color w:val="auto"/>
              </w:rPr>
            </w:pPr>
          </w:p>
        </w:tc>
        <w:tc>
          <w:tcPr>
            <w:tcW w:w="6120" w:type="dxa"/>
            <w:vAlign w:val="bottom"/>
            <w:tcBorders>
              <w:bottom w:val="single" w:sz="8" w:color="auto"/>
            </w:tcBorders>
            <w:gridSpan w:val="5"/>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540" w:type="dxa"/>
            <w:vAlign w:val="bottom"/>
            <w:tcBorders>
              <w:left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w w:val="87"/>
              </w:rPr>
              <w:t>(13)</w:t>
            </w:r>
          </w:p>
        </w:tc>
        <w:tc>
          <w:tcPr>
            <w:tcW w:w="612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(11)</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40" w:type="dxa"/>
            <w:vAlign w:val="bottom"/>
            <w:tcBorders>
              <w:left w:val="single" w:sz="8" w:color="auto"/>
              <w:right w:val="single" w:sz="8" w:color="auto"/>
            </w:tcBorders>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65.1%*</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6120" w:type="dxa"/>
            <w:vAlign w:val="bottom"/>
            <w:tcBorders>
              <w:bottom w:val="single" w:sz="8" w:color="auto"/>
            </w:tcBorders>
            <w:gridSpan w:val="5"/>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540" w:type="dxa"/>
            <w:vAlign w:val="bottom"/>
            <w:tcBorders>
              <w:left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w w:val="87"/>
              </w:rPr>
              <w:t>(14)</w:t>
            </w:r>
          </w:p>
        </w:tc>
        <w:tc>
          <w:tcPr>
            <w:tcW w:w="6120" w:type="dxa"/>
            <w:vAlign w:val="bottom"/>
            <w:gridSpan w:val="5"/>
          </w:tcPr>
          <w:p>
            <w:pPr>
              <w:spacing w:after="0"/>
              <w:rPr>
                <w:sz w:val="20"/>
                <w:szCs w:val="20"/>
                <w:color w:val="auto"/>
              </w:rPr>
            </w:pPr>
            <w:r>
              <w:rPr>
                <w:rFonts w:ascii="Arial" w:cs="Arial" w:eastAsia="Arial" w:hAnsi="Arial"/>
                <w:sz w:val="18"/>
                <w:szCs w:val="18"/>
                <w:color w:val="auto"/>
              </w:rPr>
              <w:t>Type of reporting person (see instructions)</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w:t>
            </w: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Calculation is based upon 220,576,326 ordinary shares outstanding of the Issuer as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13D</w:t>
      </w:r>
    </w:p>
    <w:p>
      <w:pPr>
        <w:spacing w:after="0" w:line="225"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CUSIP No. 68373M107</w:t>
      </w:r>
      <w:r>
        <w:rPr>
          <w:sz w:val="20"/>
          <w:szCs w:val="20"/>
          <w:color w:val="auto"/>
        </w:rPr>
        <w:tab/>
      </w:r>
      <w:r>
        <w:rPr>
          <w:rFonts w:ascii="Arial" w:cs="Arial" w:eastAsia="Arial" w:hAnsi="Arial"/>
          <w:sz w:val="16"/>
          <w:szCs w:val="16"/>
          <w:color w:val="auto"/>
        </w:rPr>
        <w:t>Page 5 of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left="440" w:right="340"/>
        <w:spacing w:after="0" w:line="264" w:lineRule="auto"/>
        <w:rPr>
          <w:sz w:val="20"/>
          <w:szCs w:val="20"/>
          <w:color w:val="auto"/>
        </w:rPr>
      </w:pPr>
      <w:r>
        <w:rPr>
          <w:rFonts w:ascii="Arial" w:cs="Arial" w:eastAsia="Arial" w:hAnsi="Arial"/>
          <w:sz w:val="18"/>
          <w:szCs w:val="18"/>
          <w:color w:val="auto"/>
        </w:rPr>
        <w:t>This statement on Schedule 13D (this “</w:t>
      </w:r>
      <w:r>
        <w:rPr>
          <w:rFonts w:ascii="Arial" w:cs="Arial" w:eastAsia="Arial" w:hAnsi="Arial"/>
          <w:sz w:val="18"/>
          <w:szCs w:val="18"/>
          <w:u w:val="single" w:color="auto"/>
          <w:color w:val="auto"/>
        </w:rPr>
        <w:t>Schedule 13D</w:t>
      </w:r>
      <w:r>
        <w:rPr>
          <w:rFonts w:ascii="Arial" w:cs="Arial" w:eastAsia="Arial" w:hAnsi="Arial"/>
          <w:sz w:val="18"/>
          <w:szCs w:val="18"/>
          <w:color w:val="auto"/>
        </w:rPr>
        <w:t>”) relates to ordinary shares, par value $0.0001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of Opera Limited, a Cayman Islands exempted company (the “</w:t>
      </w:r>
      <w:r>
        <w:rPr>
          <w:rFonts w:ascii="Arial" w:cs="Arial" w:eastAsia="Arial" w:hAnsi="Arial"/>
          <w:sz w:val="18"/>
          <w:szCs w:val="18"/>
          <w:u w:val="single" w:color="auto"/>
          <w:color w:val="auto"/>
        </w:rPr>
        <w:t>Issuer</w:t>
      </w:r>
      <w:r>
        <w:rPr>
          <w:rFonts w:ascii="Arial" w:cs="Arial" w:eastAsia="Arial" w:hAnsi="Arial"/>
          <w:sz w:val="18"/>
          <w:szCs w:val="18"/>
          <w:color w:val="auto"/>
        </w:rPr>
        <w:t>”). The address of the principal executive offices of the Issuer is Gjerdrums vei 19, 0484 Oslo, Norway.</w:t>
      </w:r>
    </w:p>
    <w:p>
      <w:pPr>
        <w:spacing w:after="0" w:line="181"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The Issuer’s American depositary shares (the “</w:t>
      </w:r>
      <w:r>
        <w:rPr>
          <w:rFonts w:ascii="Arial" w:cs="Arial" w:eastAsia="Arial" w:hAnsi="Arial"/>
          <w:sz w:val="18"/>
          <w:szCs w:val="18"/>
          <w:u w:val="single" w:color="auto"/>
          <w:color w:val="auto"/>
        </w:rPr>
        <w:t>ADSs</w:t>
      </w:r>
      <w:r>
        <w:rPr>
          <w:rFonts w:ascii="Arial" w:cs="Arial" w:eastAsia="Arial" w:hAnsi="Arial"/>
          <w:sz w:val="18"/>
          <w:szCs w:val="18"/>
          <w:color w:val="auto"/>
        </w:rPr>
        <w:t>”), each representing 2 Class A Ordinary Shares, are listed on the NASDAQ Global Select Market under the ticker symbol “OPRA.”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color w:val="auto"/>
        </w:rPr>
        <w:t>This Schedule is being jointly filed by the following persons pursuant to Rule 13d-1(k) promulgated under the Securities Exchange Act of 1934, as amended:</w:t>
      </w:r>
    </w:p>
    <w:p>
      <w:pPr>
        <w:spacing w:after="0" w:line="170" w:lineRule="exact"/>
        <w:rPr>
          <w:sz w:val="20"/>
          <w:szCs w:val="20"/>
          <w:color w:val="auto"/>
        </w:rPr>
      </w:pPr>
    </w:p>
    <w:p>
      <w:pPr>
        <w:ind w:left="1620" w:right="140" w:hanging="640"/>
        <w:spacing w:after="0" w:line="342" w:lineRule="auto"/>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Kunlun Tech Limited, a limited liability company incorporated in Hong Kong (“</w:t>
      </w:r>
      <w:r>
        <w:rPr>
          <w:rFonts w:ascii="Arial" w:cs="Arial" w:eastAsia="Arial" w:hAnsi="Arial"/>
          <w:sz w:val="16"/>
          <w:szCs w:val="16"/>
          <w:u w:val="single" w:color="auto"/>
          <w:color w:val="auto"/>
        </w:rPr>
        <w:t>Kunlun Tech</w:t>
      </w:r>
      <w:r>
        <w:rPr>
          <w:rFonts w:ascii="Arial" w:cs="Arial" w:eastAsia="Arial" w:hAnsi="Arial"/>
          <w:sz w:val="16"/>
          <w:szCs w:val="16"/>
          <w:color w:val="auto"/>
        </w:rPr>
        <w:t>”), with its registered address at Flat/Rm 1903, 19/F, Lee Garden One, 33 Hysan Avenue, Causeway Bay, Hong Kong, and its principal business in investment holding;</w:t>
      </w:r>
    </w:p>
    <w:p>
      <w:pPr>
        <w:spacing w:after="0" w:line="123" w:lineRule="exact"/>
        <w:rPr>
          <w:rFonts w:ascii="Arial" w:cs="Arial" w:eastAsia="Arial" w:hAnsi="Arial"/>
          <w:sz w:val="16"/>
          <w:szCs w:val="16"/>
          <w:color w:val="auto"/>
        </w:rPr>
      </w:pPr>
    </w:p>
    <w:p>
      <w:pPr>
        <w:ind w:left="1620" w:right="180" w:hanging="640"/>
        <w:spacing w:after="0" w:line="312" w:lineRule="auto"/>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Beijing Kunlun Tech Co., Ltd., a company incorporated in the People’s Republic of China (“</w:t>
      </w:r>
      <w:r>
        <w:rPr>
          <w:rFonts w:ascii="Arial" w:cs="Arial" w:eastAsia="Arial" w:hAnsi="Arial"/>
          <w:sz w:val="16"/>
          <w:szCs w:val="16"/>
          <w:u w:val="single" w:color="auto"/>
          <w:color w:val="auto"/>
        </w:rPr>
        <w:t>Beijing Kunlun Tech</w:t>
      </w:r>
      <w:r>
        <w:rPr>
          <w:rFonts w:ascii="Arial" w:cs="Arial" w:eastAsia="Arial" w:hAnsi="Arial"/>
          <w:sz w:val="16"/>
          <w:szCs w:val="16"/>
          <w:color w:val="auto"/>
        </w:rPr>
        <w:t>”), with its business address at 46 Xizongbu hutong, Mingyang International Center, Block B, Dongcheng District, Beijing 100005, People’s Republic of China. Beijing Kunlun Tech is a global internet company listed on the Shenzhen Stock Exchange, since March 2011;</w:t>
      </w:r>
    </w:p>
    <w:p>
      <w:pPr>
        <w:spacing w:after="0" w:line="146" w:lineRule="exact"/>
        <w:rPr>
          <w:rFonts w:ascii="Arial" w:cs="Arial" w:eastAsia="Arial" w:hAnsi="Arial"/>
          <w:sz w:val="16"/>
          <w:szCs w:val="16"/>
          <w:color w:val="auto"/>
        </w:rPr>
      </w:pPr>
    </w:p>
    <w:p>
      <w:pPr>
        <w:ind w:left="1620" w:right="240" w:hanging="640"/>
        <w:spacing w:after="0" w:line="264"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Yahui Zhou, citizen of the People’s Republic of China, chairman of the board of directors and the chief executive officer of the Issuer, with his business address at 10/F, 46 Xizongbu hutong, Mingyang International Center, Block B, Dongcheng District, Beijing 100005, People’s Republic of China;</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Kunlun Tech, Beijing Kunlun Tech and Mr. Yahui Zhou are collectively referred to as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25" w:lineRule="exact"/>
        <w:rPr>
          <w:sz w:val="20"/>
          <w:szCs w:val="20"/>
          <w:color w:val="auto"/>
        </w:rPr>
      </w:pPr>
    </w:p>
    <w:p>
      <w:pPr>
        <w:ind w:left="440" w:right="160"/>
        <w:spacing w:after="0" w:line="277" w:lineRule="auto"/>
        <w:rPr>
          <w:sz w:val="20"/>
          <w:szCs w:val="20"/>
          <w:color w:val="auto"/>
        </w:rPr>
      </w:pPr>
      <w:r>
        <w:rPr>
          <w:rFonts w:ascii="Arial" w:cs="Arial" w:eastAsia="Arial" w:hAnsi="Arial"/>
          <w:sz w:val="18"/>
          <w:szCs w:val="18"/>
          <w:color w:val="auto"/>
        </w:rPr>
        <w:t xml:space="preserve">The name, business address, present principal occupation or employment and citizenship of the directors, executive officers and control persons of the Reporting Persons as of the date hereof is set forth on </w:t>
      </w:r>
      <w:r>
        <w:rPr>
          <w:rFonts w:ascii="Arial" w:cs="Arial" w:eastAsia="Arial" w:hAnsi="Arial"/>
          <w:sz w:val="18"/>
          <w:szCs w:val="18"/>
          <w:u w:val="single" w:color="auto"/>
          <w:color w:val="auto"/>
        </w:rPr>
        <w:t>Schedule A and Schedule B</w:t>
      </w:r>
      <w:r>
        <w:rPr>
          <w:rFonts w:ascii="Arial" w:cs="Arial" w:eastAsia="Arial" w:hAnsi="Arial"/>
          <w:sz w:val="18"/>
          <w:szCs w:val="18"/>
          <w:color w:val="auto"/>
        </w:rPr>
        <w:t>.</w:t>
      </w:r>
    </w:p>
    <w:p>
      <w:pPr>
        <w:spacing w:after="0" w:line="170" w:lineRule="exact"/>
        <w:rPr>
          <w:sz w:val="20"/>
          <w:szCs w:val="20"/>
          <w:color w:val="auto"/>
        </w:rPr>
      </w:pPr>
    </w:p>
    <w:p>
      <w:pPr>
        <w:ind w:left="440" w:right="60"/>
        <w:spacing w:after="0" w:line="297" w:lineRule="auto"/>
        <w:rPr>
          <w:sz w:val="20"/>
          <w:szCs w:val="20"/>
          <w:color w:val="auto"/>
        </w:rPr>
      </w:pPr>
      <w:r>
        <w:rPr>
          <w:rFonts w:ascii="Arial" w:cs="Arial" w:eastAsia="Arial" w:hAnsi="Arial"/>
          <w:sz w:val="16"/>
          <w:szCs w:val="16"/>
          <w:color w:val="auto"/>
        </w:rPr>
        <w:t>Kunlun Tech is the record holder of the Ordinary Shares reported on this Schedule 13D. Beijing Kunlun Tech is the sole shareholder of Kunlun Tech. Mr. Yahui Zhou is the chairman of the board and chief executive officer of the Issuer, beneficially owns 143,500,000 Ordinary Shares of the Issuer through (i) 104,500,000 Ordinary Shares held by Kunlun Tech, which is wholly owned by Beijing Kunlun Tech, a company in which Yahui Zhou holds 25.9% of the equity interest and serves as the chairman of the board of directors and (ii) 39,000,000 ordinary shares held by Keeneyes Future Holding Inc., an exempted company established in the Cayman Islands (“</w:t>
      </w:r>
      <w:r>
        <w:rPr>
          <w:rFonts w:ascii="Arial" w:cs="Arial" w:eastAsia="Arial" w:hAnsi="Arial"/>
          <w:sz w:val="16"/>
          <w:szCs w:val="16"/>
          <w:u w:val="single" w:color="auto"/>
          <w:color w:val="auto"/>
        </w:rPr>
        <w:t>Keeneyes Future</w:t>
      </w:r>
      <w:r>
        <w:rPr>
          <w:rFonts w:ascii="Arial" w:cs="Arial" w:eastAsia="Arial" w:hAnsi="Arial"/>
          <w:sz w:val="16"/>
          <w:szCs w:val="16"/>
          <w:color w:val="auto"/>
        </w:rPr>
        <w:t>”), which is wholly owned by Mr. Yahui Zhou.</w:t>
      </w:r>
    </w:p>
    <w:p>
      <w:pPr>
        <w:spacing w:after="0" w:line="158"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 xml:space="preserve">None of the Reporting Persons and, to the best of their knowledge, the persons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has, during the last five years, been (i) convicted in a criminal proceeding (excluding traffic violations or similar misdemeanors) or (ii) a party to a civil proceeding of a judicial or administrative body of competent jurisdiction or subject to any judgment, decree or final order finding any violation of federal or state securities laws or enjoining future violations of, or prohibiting or mandating activities subject to, such laws.</w:t>
      </w:r>
    </w:p>
    <w:p>
      <w:pPr>
        <w:spacing w:after="0" w:line="187"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The Reporting Persons and Keeneyes Future previously reported their beneficial ownership in the Issuer’s Ordinary Shares on Schedule 13G filed on 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SCHEDULE 13D</w:t>
      </w:r>
    </w:p>
    <w:p>
      <w:pPr>
        <w:spacing w:after="0" w:line="225"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CUSIP No. 68373M107</w:t>
      </w:r>
      <w:r>
        <w:rPr>
          <w:sz w:val="20"/>
          <w:szCs w:val="20"/>
          <w:color w:val="auto"/>
        </w:rPr>
        <w:tab/>
      </w:r>
      <w:r>
        <w:rPr>
          <w:rFonts w:ascii="Arial" w:cs="Arial" w:eastAsia="Arial" w:hAnsi="Arial"/>
          <w:sz w:val="16"/>
          <w:szCs w:val="16"/>
          <w:color w:val="auto"/>
        </w:rPr>
        <w:t>Page 6 of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w:t>
      </w:r>
    </w:p>
    <w:p>
      <w:pPr>
        <w:spacing w:after="0" w:line="229" w:lineRule="exact"/>
        <w:rPr>
          <w:sz w:val="20"/>
          <w:szCs w:val="20"/>
          <w:color w:val="auto"/>
        </w:rPr>
      </w:pPr>
    </w:p>
    <w:p>
      <w:pPr>
        <w:jc w:val="both"/>
        <w:ind w:left="440" w:right="80"/>
        <w:spacing w:after="0" w:line="312" w:lineRule="auto"/>
        <w:rPr>
          <w:sz w:val="20"/>
          <w:szCs w:val="20"/>
          <w:color w:val="auto"/>
        </w:rPr>
      </w:pPr>
      <w:r>
        <w:rPr>
          <w:rFonts w:ascii="Arial" w:cs="Arial" w:eastAsia="Arial" w:hAnsi="Arial"/>
          <w:sz w:val="16"/>
          <w:szCs w:val="16"/>
          <w:color w:val="auto"/>
        </w:rPr>
        <w:t>On February 25, 2019, Kunlun Tech entered into a share transfer agreement with Golden Brick Capital Private Equity Fund I L.P., an exempted limited partnership established under the laws of the Cayman Islands (“</w:t>
      </w:r>
      <w:r>
        <w:rPr>
          <w:rFonts w:ascii="Arial" w:cs="Arial" w:eastAsia="Arial" w:hAnsi="Arial"/>
          <w:sz w:val="16"/>
          <w:szCs w:val="16"/>
          <w:u w:val="single" w:color="auto"/>
          <w:color w:val="auto"/>
        </w:rPr>
        <w:t>Golden Brick</w:t>
      </w:r>
      <w:r>
        <w:rPr>
          <w:rFonts w:ascii="Arial" w:cs="Arial" w:eastAsia="Arial" w:hAnsi="Arial"/>
          <w:sz w:val="16"/>
          <w:szCs w:val="16"/>
          <w:color w:val="auto"/>
        </w:rPr>
        <w:t>”), pursuant to which Golden Brick transferred all its 8,500,000 Ordinary Shares of the Issuer, which represents 3.9% of the Issuer’s outstanding Ordinary Shares, to Kunlun Tech, for consideration of US$34.8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the Transaction.</w:t>
      </w:r>
    </w:p>
    <w:p>
      <w:pPr>
        <w:spacing w:after="0" w:line="229" w:lineRule="exact"/>
        <w:rPr>
          <w:sz w:val="20"/>
          <w:szCs w:val="20"/>
          <w:color w:val="auto"/>
        </w:rPr>
      </w:pPr>
    </w:p>
    <w:p>
      <w:pPr>
        <w:ind w:left="440"/>
        <w:spacing w:after="0" w:line="272" w:lineRule="auto"/>
        <w:rPr>
          <w:sz w:val="20"/>
          <w:szCs w:val="20"/>
          <w:color w:val="auto"/>
        </w:rPr>
      </w:pPr>
      <w:r>
        <w:rPr>
          <w:rFonts w:ascii="Arial" w:cs="Arial" w:eastAsia="Arial" w:hAnsi="Arial"/>
          <w:sz w:val="17"/>
          <w:szCs w:val="17"/>
          <w:color w:val="auto"/>
        </w:rPr>
        <w:t>The Reporting Persons acquired the additional Ordinary Shares reported herein for investment purposes, and such acquisition has been made in the Reporting Persons’ ordinary course of business. The Reporting Persons may, from time to time, make additional purchases of Ordinary Shares or ADSs either in the open market or in privately-negotiated transactions, depending upon the Reporting Persons’ evaluation of the Issuer’s business, prospects and financial condition, the market for the Ordinary Shares and the ADSs, other opportunities available to the Reporting Persons, general economic conditions, stock market conditions and other factors. Depending upon the factors noted above, the Reporting Persons may also decide to hold or dispose of all or part of their investments in Ordinary Shares and/or enter into derivative transactions with institutional counterparties with respect to the Issuer’s securities, including the Ordinary Shares and the ADSs.</w:t>
      </w:r>
    </w:p>
    <w:p>
      <w:pPr>
        <w:spacing w:after="0" w:line="178"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Except as set forth in this Item 4, the Reporting Persons have no present plans or proposals that relate to or would result in any of the actions described in subparagraphs (a) through (j) of Item 4 of Schedule 13D.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Amount beneficially owned as of the date hereof</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20"/>
        <w:spacing w:after="0" w:line="277" w:lineRule="auto"/>
        <w:rPr>
          <w:rFonts w:ascii="Arial" w:cs="Arial" w:eastAsia="Arial" w:hAnsi="Arial"/>
          <w:sz w:val="18"/>
          <w:szCs w:val="18"/>
          <w:color w:val="auto"/>
        </w:rPr>
      </w:pPr>
      <w:r>
        <w:rPr>
          <w:rFonts w:ascii="Arial" w:cs="Arial" w:eastAsia="Arial" w:hAnsi="Arial"/>
          <w:sz w:val="18"/>
          <w:szCs w:val="18"/>
          <w:color w:val="auto"/>
        </w:rPr>
        <w:t>See Items 11 and 13 of the cover pages to this Schedule for the aggregate number and percentage of Ordinary Shares that are beneficially owned by each Reporting Person as of the date hereof.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7 on the cover pages hereto.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8 on the cover pages hereto.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9 on the cover pages hereto.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10 on the cover pages hereto.</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set forth herein, to the knowledge of the Reporting Persons with respect to the persons named in response to Item 5(a), none of the persons named in response to Item 5(a) has effected any transactions in the Ordinary Shares during the past 60 days.</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person other than the persons listed is known to have the right to receive or the power to direct the receipt of dividends from, or the proceeds from the sale of, any securities owned by any of the Reporting Persons.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set forth in or incorporated by reference in Items 3, 4 and 5 of this Schedule 13D is incorporated by reference into this Item 6.</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00" w:lineRule="exact"/>
        <w:rPr>
          <w:sz w:val="20"/>
          <w:szCs w:val="20"/>
          <w:color w:val="auto"/>
        </w:rPr>
      </w:pPr>
    </w:p>
    <w:p>
      <w:pPr>
        <w:spacing w:after="0" w:line="245" w:lineRule="exact"/>
        <w:rPr>
          <w:sz w:val="20"/>
          <w:szCs w:val="20"/>
          <w:color w:val="auto"/>
        </w:rPr>
      </w:pPr>
    </w:p>
    <w:p>
      <w:pPr>
        <w:ind w:left="1820" w:right="260" w:hanging="1323"/>
        <w:spacing w:after="0" w:line="277" w:lineRule="auto"/>
        <w:tabs>
          <w:tab w:leader="none" w:pos="18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8"/>
          <w:szCs w:val="18"/>
          <w:color w:val="auto"/>
        </w:rPr>
        <w:t>Joint Filing Agreement, dated as of March 6, 2019, by and between Kunlun Tech Limited, Beijing Kunlun Tech Co., Ltd. and Mr.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2019</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Kunlun Tech Limited</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Yahui Zhou</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Yahui Zhou</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Beijing Kunlun Tech Co.,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Yahui Zhou</w:t>
            </w:r>
          </w:p>
        </w:tc>
        <w:tc>
          <w:tcPr>
            <w:tcW w:w="1140" w:type="dxa"/>
            <w:vAlign w:val="bottom"/>
          </w:tcPr>
          <w:p>
            <w:pPr>
              <w:spacing w:after="0"/>
              <w:rPr>
                <w:sz w:val="20"/>
                <w:szCs w:val="20"/>
                <w:color w:val="auto"/>
              </w:rPr>
            </w:pPr>
          </w:p>
        </w:tc>
      </w:tr>
      <w:tr>
        <w:trPr>
          <w:trHeight w:val="224"/>
        </w:trPr>
        <w:tc>
          <w:tcPr>
            <w:tcW w:w="6300" w:type="dxa"/>
            <w:vAlign w:val="bottom"/>
          </w:tcPr>
          <w:p>
            <w:pPr>
              <w:ind w:left="572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Yahui Zhou</w:t>
            </w:r>
          </w:p>
        </w:tc>
        <w:tc>
          <w:tcPr>
            <w:tcW w:w="1140" w:type="dxa"/>
            <w:vAlign w:val="bottom"/>
          </w:tcPr>
          <w:p>
            <w:pPr>
              <w:spacing w:after="0"/>
              <w:rPr>
                <w:sz w:val="19"/>
                <w:szCs w:val="19"/>
                <w:color w:val="auto"/>
              </w:rPr>
            </w:pPr>
          </w:p>
        </w:tc>
      </w:tr>
      <w:tr>
        <w:trPr>
          <w:trHeight w:val="418"/>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w:t>
            </w:r>
          </w:p>
        </w:tc>
        <w:tc>
          <w:tcPr>
            <w:tcW w:w="1140" w:type="dxa"/>
            <w:vAlign w:val="bottom"/>
          </w:tcPr>
          <w:p>
            <w:pPr>
              <w:spacing w:after="0"/>
              <w:rPr>
                <w:sz w:val="24"/>
                <w:szCs w:val="24"/>
                <w:color w:val="auto"/>
              </w:rPr>
            </w:pPr>
          </w:p>
        </w:tc>
      </w:tr>
      <w:tr>
        <w:trPr>
          <w:trHeight w:val="432"/>
        </w:trPr>
        <w:tc>
          <w:tcPr>
            <w:tcW w:w="10280" w:type="dxa"/>
            <w:vAlign w:val="bottom"/>
            <w:gridSpan w:val="2"/>
          </w:tcPr>
          <w:p>
            <w:pPr>
              <w:ind w:left="5720"/>
              <w:spacing w:after="0"/>
              <w:rPr>
                <w:sz w:val="20"/>
                <w:szCs w:val="20"/>
                <w:color w:val="auto"/>
              </w:rPr>
            </w:pPr>
            <w:r>
              <w:rPr>
                <w:rFonts w:ascii="Arial" w:cs="Arial" w:eastAsia="Arial" w:hAnsi="Arial"/>
                <w:sz w:val="18"/>
                <w:szCs w:val="18"/>
                <w:b w:val="1"/>
                <w:bCs w:val="1"/>
                <w:color w:val="auto"/>
              </w:rPr>
              <w:t>Yahui Zhou</w:t>
            </w:r>
          </w:p>
        </w:tc>
        <w:tc>
          <w:tcPr>
            <w:tcW w:w="1140" w:type="dxa"/>
            <w:vAlign w:val="bottom"/>
          </w:tcPr>
          <w:p>
            <w:pPr>
              <w:spacing w:after="0"/>
              <w:rPr>
                <w:sz w:val="24"/>
                <w:szCs w:val="24"/>
                <w:color w:val="auto"/>
              </w:rPr>
            </w:pPr>
          </w:p>
        </w:tc>
      </w:tr>
      <w:tr>
        <w:trPr>
          <w:trHeight w:val="432"/>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Yahui Zhou</w:t>
            </w:r>
          </w:p>
        </w:tc>
        <w:tc>
          <w:tcPr>
            <w:tcW w:w="1140" w:type="dxa"/>
            <w:vAlign w:val="bottom"/>
          </w:tcPr>
          <w:p>
            <w:pPr>
              <w:spacing w:after="0"/>
              <w:rPr>
                <w:sz w:val="24"/>
                <w:szCs w:val="24"/>
                <w:color w:val="auto"/>
              </w:rPr>
            </w:pPr>
          </w:p>
        </w:tc>
      </w:tr>
      <w:tr>
        <w:trPr>
          <w:trHeight w:val="224"/>
        </w:trPr>
        <w:tc>
          <w:tcPr>
            <w:tcW w:w="6300" w:type="dxa"/>
            <w:vAlign w:val="bottom"/>
          </w:tcPr>
          <w:p>
            <w:pPr>
              <w:ind w:left="572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Yahui Zhou</w:t>
            </w:r>
          </w:p>
        </w:tc>
        <w:tc>
          <w:tcPr>
            <w:tcW w:w="1140" w:type="dxa"/>
            <w:vAlign w:val="bottom"/>
          </w:tcPr>
          <w:p>
            <w:pPr>
              <w:spacing w:after="0"/>
              <w:rPr>
                <w:sz w:val="19"/>
                <w:szCs w:val="19"/>
                <w:color w:val="auto"/>
              </w:rPr>
            </w:pPr>
          </w:p>
        </w:tc>
      </w:tr>
      <w:tr>
        <w:trPr>
          <w:trHeight w:val="560"/>
        </w:trPr>
        <w:tc>
          <w:tcPr>
            <w:tcW w:w="63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 w:name="page8"/>
    <w:bookmarkEnd w:id="7"/>
    <w:p>
      <w:pPr>
        <w:jc w:val="center"/>
        <w:ind w:right="-359"/>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u w:val="single" w:color="auto"/>
          <w:color w:val="auto"/>
        </w:rPr>
        <w:t>Directors and Executive Officers of Kunlun Tech Limited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business address of each of the following directors and executive officers is Flat/Rm 1903, 19/F, Lee Garden One, 33 Hysan Avenue, Causeway Bay, Hong Kong.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Directors:</w:t>
      </w:r>
    </w:p>
    <w:p>
      <w:pPr>
        <w:spacing w:after="0" w:line="200" w:lineRule="exact"/>
        <w:rPr>
          <w:sz w:val="20"/>
          <w:szCs w:val="20"/>
          <w:color w:val="auto"/>
        </w:rPr>
      </w:pPr>
    </w:p>
    <w:p>
      <w:pPr>
        <w:spacing w:after="0" w:line="241" w:lineRule="exact"/>
        <w:rPr>
          <w:sz w:val="20"/>
          <w:szCs w:val="20"/>
          <w:color w:val="auto"/>
        </w:rPr>
      </w:pPr>
    </w:p>
    <w:tbl>
      <w:tblPr>
        <w:tblLayout w:type="fixed"/>
        <w:tblInd w:w="1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Name</w:t>
            </w:r>
          </w:p>
        </w:tc>
        <w:tc>
          <w:tcPr>
            <w:tcW w:w="260" w:type="dxa"/>
            <w:vAlign w:val="bottom"/>
          </w:tcPr>
          <w:p>
            <w:pPr>
              <w:spacing w:after="0"/>
              <w:rPr>
                <w:sz w:val="20"/>
                <w:szCs w:val="20"/>
                <w:color w:val="auto"/>
              </w:rPr>
            </w:pPr>
          </w:p>
        </w:tc>
        <w:tc>
          <w:tcPr>
            <w:tcW w:w="378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Citizenship</w:t>
            </w: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Tian Jin</w:t>
            </w: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PRC</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Liwei Wang</w:t>
            </w:r>
          </w:p>
        </w:tc>
        <w:tc>
          <w:tcPr>
            <w:tcW w:w="4040" w:type="dxa"/>
            <w:vAlign w:val="bottom"/>
            <w:gridSpan w:val="2"/>
          </w:tcPr>
          <w:p>
            <w:pPr>
              <w:ind w:left="260"/>
              <w:spacing w:after="0"/>
              <w:rPr>
                <w:sz w:val="20"/>
                <w:szCs w:val="20"/>
                <w:color w:val="auto"/>
              </w:rPr>
            </w:pPr>
            <w:r>
              <w:rPr>
                <w:rFonts w:ascii="Arial" w:cs="Arial" w:eastAsia="Arial" w:hAnsi="Arial"/>
                <w:sz w:val="18"/>
                <w:szCs w:val="18"/>
                <w:color w:val="auto"/>
              </w:rPr>
              <w:t>PRC</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Han Fang</w:t>
            </w: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PRC</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580" w:right="5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 and Executive Officers of Beijing Kunlun Tech Co., Ltd.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business address of each of the following directors is 46 Xizongbu hutong, Mingyang International Center, Block B, Dongcheng District, Beijing 100005, People’s Republic of China.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Directors:</w:t>
      </w:r>
    </w:p>
    <w:p>
      <w:pPr>
        <w:spacing w:after="0" w:line="200" w:lineRule="exact"/>
        <w:rPr>
          <w:sz w:val="20"/>
          <w:szCs w:val="20"/>
          <w:color w:val="auto"/>
        </w:rPr>
      </w:pPr>
    </w:p>
    <w:p>
      <w:pPr>
        <w:spacing w:after="0" w:line="241" w:lineRule="exact"/>
        <w:rPr>
          <w:sz w:val="20"/>
          <w:szCs w:val="20"/>
          <w:color w:val="auto"/>
        </w:rPr>
      </w:pPr>
    </w:p>
    <w:tbl>
      <w:tblPr>
        <w:tblLayout w:type="fixed"/>
        <w:tblInd w:w="1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Name</w:t>
            </w:r>
          </w:p>
        </w:tc>
        <w:tc>
          <w:tcPr>
            <w:tcW w:w="260" w:type="dxa"/>
            <w:vAlign w:val="bottom"/>
          </w:tcPr>
          <w:p>
            <w:pPr>
              <w:spacing w:after="0"/>
              <w:rPr>
                <w:sz w:val="20"/>
                <w:szCs w:val="20"/>
                <w:color w:val="auto"/>
              </w:rPr>
            </w:pPr>
          </w:p>
        </w:tc>
        <w:tc>
          <w:tcPr>
            <w:tcW w:w="378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Citizenship</w:t>
            </w: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Yahui Zhou</w:t>
            </w: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PRC</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Liwei Wang</w:t>
            </w:r>
          </w:p>
        </w:tc>
        <w:tc>
          <w:tcPr>
            <w:tcW w:w="4040" w:type="dxa"/>
            <w:vAlign w:val="bottom"/>
            <w:gridSpan w:val="2"/>
          </w:tcPr>
          <w:p>
            <w:pPr>
              <w:ind w:left="260"/>
              <w:spacing w:after="0"/>
              <w:rPr>
                <w:sz w:val="20"/>
                <w:szCs w:val="20"/>
                <w:color w:val="auto"/>
              </w:rPr>
            </w:pPr>
            <w:r>
              <w:rPr>
                <w:rFonts w:ascii="Arial" w:cs="Arial" w:eastAsia="Arial" w:hAnsi="Arial"/>
                <w:sz w:val="18"/>
                <w:szCs w:val="18"/>
                <w:color w:val="auto"/>
              </w:rPr>
              <w:t>PRC</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Guoqiang Huang</w:t>
            </w: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PRC</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Tian Jin</w:t>
            </w:r>
          </w:p>
        </w:tc>
        <w:tc>
          <w:tcPr>
            <w:tcW w:w="4040" w:type="dxa"/>
            <w:vAlign w:val="bottom"/>
            <w:gridSpan w:val="2"/>
          </w:tcPr>
          <w:p>
            <w:pPr>
              <w:ind w:left="260"/>
              <w:spacing w:after="0"/>
              <w:rPr>
                <w:sz w:val="20"/>
                <w:szCs w:val="20"/>
                <w:color w:val="auto"/>
              </w:rPr>
            </w:pPr>
            <w:r>
              <w:rPr>
                <w:rFonts w:ascii="Arial" w:cs="Arial" w:eastAsia="Arial" w:hAnsi="Arial"/>
                <w:sz w:val="18"/>
                <w:szCs w:val="18"/>
                <w:color w:val="auto"/>
              </w:rPr>
              <w:t>PRC</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Baoqing Zhao</w:t>
            </w: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PRC</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Hao Chen</w:t>
            </w:r>
          </w:p>
        </w:tc>
        <w:tc>
          <w:tcPr>
            <w:tcW w:w="4040" w:type="dxa"/>
            <w:vAlign w:val="bottom"/>
            <w:gridSpan w:val="2"/>
          </w:tcPr>
          <w:p>
            <w:pPr>
              <w:ind w:left="260"/>
              <w:spacing w:after="0"/>
              <w:rPr>
                <w:sz w:val="20"/>
                <w:szCs w:val="20"/>
                <w:color w:val="auto"/>
              </w:rPr>
            </w:pPr>
            <w:r>
              <w:rPr>
                <w:rFonts w:ascii="Arial" w:cs="Arial" w:eastAsia="Arial" w:hAnsi="Arial"/>
                <w:sz w:val="18"/>
                <w:szCs w:val="18"/>
                <w:color w:val="auto"/>
              </w:rPr>
              <w:t>PRC</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Lei Xue</w:t>
            </w: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PRC</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420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Name</w:t>
            </w:r>
          </w:p>
        </w:tc>
        <w:tc>
          <w:tcPr>
            <w:tcW w:w="480" w:type="dxa"/>
            <w:vAlign w:val="bottom"/>
          </w:tcPr>
          <w:p>
            <w:pPr>
              <w:spacing w:after="0"/>
              <w:rPr>
                <w:sz w:val="20"/>
                <w:szCs w:val="20"/>
                <w:color w:val="auto"/>
              </w:rPr>
            </w:pPr>
          </w:p>
        </w:tc>
        <w:tc>
          <w:tcPr>
            <w:tcW w:w="414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Title</w:t>
            </w:r>
          </w:p>
        </w:tc>
        <w:tc>
          <w:tcPr>
            <w:tcW w:w="460" w:type="dxa"/>
            <w:vAlign w:val="bottom"/>
          </w:tcPr>
          <w:p>
            <w:pPr>
              <w:spacing w:after="0"/>
              <w:rPr>
                <w:sz w:val="20"/>
                <w:szCs w:val="20"/>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5"/>
              </w:rPr>
              <w:t>Citizenship</w:t>
            </w: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Liwei Wang</w:t>
            </w:r>
          </w:p>
        </w:tc>
        <w:tc>
          <w:tcPr>
            <w:tcW w:w="48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General manager, chief financial officer</w:t>
            </w:r>
          </w:p>
        </w:tc>
        <w:tc>
          <w:tcPr>
            <w:tcW w:w="14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PRC</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Hangjun Mao</w:t>
            </w:r>
          </w:p>
        </w:tc>
        <w:tc>
          <w:tcPr>
            <w:tcW w:w="4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Supervisor</w:t>
            </w:r>
          </w:p>
        </w:tc>
        <w:tc>
          <w:tcPr>
            <w:tcW w:w="1480" w:type="dxa"/>
            <w:vAlign w:val="bottom"/>
            <w:gridSpan w:val="2"/>
          </w:tcPr>
          <w:p>
            <w:pPr>
              <w:ind w:left="460"/>
              <w:spacing w:after="0"/>
              <w:rPr>
                <w:sz w:val="20"/>
                <w:szCs w:val="20"/>
                <w:color w:val="auto"/>
              </w:rPr>
            </w:pPr>
            <w:r>
              <w:rPr>
                <w:rFonts w:ascii="Arial" w:cs="Arial" w:eastAsia="Arial" w:hAnsi="Arial"/>
                <w:sz w:val="18"/>
                <w:szCs w:val="18"/>
                <w:color w:val="auto"/>
              </w:rPr>
              <w:t>PRC</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Qian Sun</w:t>
            </w:r>
          </w:p>
        </w:tc>
        <w:tc>
          <w:tcPr>
            <w:tcW w:w="48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Supervisor</w:t>
            </w:r>
          </w:p>
        </w:tc>
        <w:tc>
          <w:tcPr>
            <w:tcW w:w="14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PRC</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Hongwei You</w:t>
            </w:r>
          </w:p>
        </w:tc>
        <w:tc>
          <w:tcPr>
            <w:tcW w:w="4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Supervisor</w:t>
            </w:r>
          </w:p>
        </w:tc>
        <w:tc>
          <w:tcPr>
            <w:tcW w:w="1480" w:type="dxa"/>
            <w:vAlign w:val="bottom"/>
            <w:gridSpan w:val="2"/>
          </w:tcPr>
          <w:p>
            <w:pPr>
              <w:ind w:left="460"/>
              <w:spacing w:after="0"/>
              <w:rPr>
                <w:sz w:val="20"/>
                <w:szCs w:val="20"/>
                <w:color w:val="auto"/>
              </w:rPr>
            </w:pPr>
            <w:r>
              <w:rPr>
                <w:rFonts w:ascii="Arial" w:cs="Arial" w:eastAsia="Arial" w:hAnsi="Arial"/>
                <w:sz w:val="18"/>
                <w:szCs w:val="18"/>
                <w:color w:val="auto"/>
              </w:rPr>
              <w:t>PRC</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Xinying Huang</w:t>
            </w:r>
          </w:p>
        </w:tc>
        <w:tc>
          <w:tcPr>
            <w:tcW w:w="48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Vice general manager</w:t>
            </w:r>
          </w:p>
        </w:tc>
        <w:tc>
          <w:tcPr>
            <w:tcW w:w="14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PRC</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Tian Jin</w:t>
            </w:r>
          </w:p>
        </w:tc>
        <w:tc>
          <w:tcPr>
            <w:tcW w:w="4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89"/>
              </w:rPr>
              <w:t>Vice general manager, Secretary of the board of directors</w:t>
            </w:r>
          </w:p>
        </w:tc>
        <w:tc>
          <w:tcPr>
            <w:tcW w:w="1480" w:type="dxa"/>
            <w:vAlign w:val="bottom"/>
            <w:gridSpan w:val="2"/>
          </w:tcPr>
          <w:p>
            <w:pPr>
              <w:ind w:left="460"/>
              <w:spacing w:after="0"/>
              <w:rPr>
                <w:sz w:val="20"/>
                <w:szCs w:val="20"/>
                <w:color w:val="auto"/>
              </w:rPr>
            </w:pPr>
            <w:r>
              <w:rPr>
                <w:rFonts w:ascii="Arial" w:cs="Arial" w:eastAsia="Arial" w:hAnsi="Arial"/>
                <w:sz w:val="18"/>
                <w:szCs w:val="18"/>
                <w:color w:val="auto"/>
              </w:rPr>
              <w:t>PRC</w:t>
            </w:r>
          </w:p>
        </w:tc>
      </w:tr>
    </w:tbl>
    <w:p>
      <w:pPr>
        <w:sectPr>
          <w:pgSz w:w="11900" w:h="16838" w:orient="portrait"/>
          <w:cols w:equalWidth="0" w:num="1">
            <w:col w:w="11420"/>
          </w:cols>
          <w:pgMar w:left="240" w:top="580" w:right="239" w:bottom="1440" w:gutter="0" w:footer="0" w:header="0"/>
        </w:sectPr>
      </w:pPr>
    </w:p>
    <w:bookmarkStart w:id="9" w:name="page10"/>
    <w:bookmarkEnd w:id="9"/>
    <w:p>
      <w:pPr>
        <w:ind w:left="10360"/>
        <w:spacing w:after="0"/>
        <w:rPr>
          <w:sz w:val="20"/>
          <w:szCs w:val="20"/>
          <w:color w:val="auto"/>
        </w:rPr>
      </w:pPr>
      <w:r>
        <w:rPr>
          <w:rFonts w:ascii="Arial" w:cs="Arial" w:eastAsia="Arial" w:hAnsi="Arial"/>
          <w:sz w:val="17"/>
          <w:szCs w:val="17"/>
          <w:b w:val="1"/>
          <w:bCs w:val="1"/>
          <w:color w:val="auto"/>
        </w:rPr>
        <w:t>Exhibit 99.1</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Joint Filing Agreement</w:t>
      </w:r>
    </w:p>
    <w:p>
      <w:pPr>
        <w:spacing w:after="0" w:line="200" w:lineRule="exact"/>
        <w:rPr>
          <w:sz w:val="20"/>
          <w:szCs w:val="20"/>
          <w:color w:val="auto"/>
        </w:rPr>
      </w:pPr>
    </w:p>
    <w:p>
      <w:pPr>
        <w:spacing w:after="0" w:line="24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ordinary shares, par value $0.0001 per share, of Opera Limited, a Cayman Islands company, and that this Agreement may be included as an Exhibit to such joint filing. This Agreement may be executed in any number of counterparts, all of which taken together shall constitute one and the same instrument.</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this page has been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0" w:name="page11"/>
    <w:bookmarkEnd w:id="10"/>
    <w:p>
      <w:pPr>
        <w:ind w:left="45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undersigned hereby execute this Agreement as of March 6, 2019.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Kunlun Tech Limited</w:t>
      </w:r>
    </w:p>
    <w:p>
      <w:pPr>
        <w:spacing w:after="0" w:line="229" w:lineRule="exact"/>
        <w:rPr>
          <w:sz w:val="20"/>
          <w:szCs w:val="20"/>
          <w:color w:val="auto"/>
        </w:rPr>
      </w:pPr>
    </w:p>
    <w:p>
      <w:pPr>
        <w:ind w:left="5180"/>
        <w:spacing w:after="0"/>
        <w:tabs>
          <w:tab w:leader="none" w:pos="5640" w:val="left"/>
        </w:tabs>
        <w:rPr>
          <w:sz w:val="20"/>
          <w:szCs w:val="20"/>
          <w:color w:val="auto"/>
        </w:rPr>
      </w:pPr>
      <w:r>
        <w:rPr>
          <w:rFonts w:ascii="Arial" w:cs="Arial" w:eastAsia="Arial" w:hAnsi="Arial"/>
          <w:sz w:val="18"/>
          <w:szCs w:val="18"/>
          <w:color w:val="auto"/>
        </w:rPr>
        <w:t>By:</w:t>
        <w:tab/>
        <w:t>/s/ Yahui Zhou</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-130810</wp:posOffset>
            </wp:positionV>
            <wp:extent cx="25126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04" w:lineRule="exact"/>
        <w:rPr>
          <w:sz w:val="20"/>
          <w:szCs w:val="20"/>
          <w:color w:val="auto"/>
        </w:rPr>
      </w:pPr>
    </w:p>
    <w:p>
      <w:pPr>
        <w:ind w:left="5180"/>
        <w:spacing w:after="0"/>
        <w:tabs>
          <w:tab w:leader="none" w:pos="5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21"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Beijing Kunlun Tech Co., Ltd.</w:t>
      </w:r>
    </w:p>
    <w:p>
      <w:pPr>
        <w:spacing w:after="0" w:line="252" w:lineRule="exact"/>
        <w:rPr>
          <w:sz w:val="20"/>
          <w:szCs w:val="20"/>
          <w:color w:val="auto"/>
        </w:rPr>
      </w:pPr>
    </w:p>
    <w:p>
      <w:pPr>
        <w:ind w:left="5180"/>
        <w:spacing w:after="0"/>
        <w:tabs>
          <w:tab w:leader="none" w:pos="5640" w:val="left"/>
        </w:tabs>
        <w:rPr>
          <w:sz w:val="20"/>
          <w:szCs w:val="20"/>
          <w:color w:val="auto"/>
        </w:rPr>
      </w:pPr>
      <w:r>
        <w:rPr>
          <w:rFonts w:ascii="Arial" w:cs="Arial" w:eastAsia="Arial" w:hAnsi="Arial"/>
          <w:sz w:val="18"/>
          <w:szCs w:val="18"/>
          <w:color w:val="auto"/>
        </w:rPr>
        <w:t>By:</w:t>
        <w:tab/>
        <w:t>/s/ Yahui Zhou</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-130810</wp:posOffset>
            </wp:positionV>
            <wp:extent cx="25126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0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Chairman</w:t>
      </w:r>
    </w:p>
    <w:p>
      <w:pPr>
        <w:spacing w:after="0" w:line="2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Yahui Zhou</w:t>
      </w:r>
    </w:p>
    <w:p>
      <w:pPr>
        <w:spacing w:after="0" w:line="229" w:lineRule="exact"/>
        <w:rPr>
          <w:sz w:val="20"/>
          <w:szCs w:val="20"/>
          <w:color w:val="auto"/>
        </w:rPr>
      </w:pPr>
    </w:p>
    <w:p>
      <w:pPr>
        <w:ind w:left="5180"/>
        <w:spacing w:after="0"/>
        <w:tabs>
          <w:tab w:leader="none" w:pos="5640" w:val="left"/>
        </w:tabs>
        <w:rPr>
          <w:sz w:val="20"/>
          <w:szCs w:val="20"/>
          <w:color w:val="auto"/>
        </w:rPr>
      </w:pPr>
      <w:r>
        <w:rPr>
          <w:rFonts w:ascii="Arial" w:cs="Arial" w:eastAsia="Arial" w:hAnsi="Arial"/>
          <w:sz w:val="18"/>
          <w:szCs w:val="18"/>
          <w:color w:val="auto"/>
        </w:rPr>
        <w:t>By:</w:t>
        <w:tab/>
        <w:t>/s/ Yahui Zhou</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-130810</wp:posOffset>
            </wp:positionV>
            <wp:extent cx="25126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sectPr>
      <w:pgSz w:w="11900" w:h="16838" w:orient="portrait"/>
      <w:cols w:equalWidth="0" w:num="1">
        <w:col w:w="9559"/>
      </w:cols>
      <w:pgMar w:left="900" w:top="5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3"/>
    </w:lvl>
    <w:lvl w:ilvl="1">
      <w:lvlJc w:val="left"/>
      <w:lvlText w:val="(%2)"/>
      <w:numFmt w:val="decimal"/>
      <w:start w:val="7"/>
    </w:lvl>
  </w:abstractNum>
  <w:abstractNum w:abstractNumId="4">
    <w:nsid w:val="507ED7AB"/>
    <w:multiLevelType w:val="hybridMultilevel"/>
    <w:lvl w:ilvl="0">
      <w:lvlJc w:val="left"/>
      <w:lvlText w:val="*"/>
      <w:numFmt w:val="bullet"/>
      <w:start w:val="1"/>
    </w:lvl>
    <w:lvl w:ilvl="1">
      <w:lvlJc w:val="left"/>
      <w:lvlText w:val="(%2)"/>
      <w:numFmt w:val="decimal"/>
      <w:start w:val="1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2019-12-21T04:07:51Z</dcterms:created>
  <dcterms:modified xsi:type="dcterms:W3CDTF">2019-12-21T04:07:51Z</dcterms:modified>
</cp:coreProperties>
</file>