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167005</wp:posOffset>
            </wp:positionV>
            <wp:extent cx="142303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190500</wp:posOffset>
            </wp:positionV>
            <wp:extent cx="14230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jc w:val="center"/>
        <w:ind w:left="1720" w:right="1860"/>
        <w:spacing w:after="0" w:line="2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December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001-38588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182880</wp:posOffset>
            </wp:positionV>
            <wp:extent cx="142303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OPERA LIMITED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207010</wp:posOffset>
            </wp:positionV>
            <wp:extent cx="14230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Vitaminveien 4,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0485 Oslo, Norway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207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-718185</wp:posOffset>
            </wp:positionH>
            <wp:positionV relativeFrom="paragraph">
              <wp:posOffset>424815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821" w:right="1440" w:bottom="1440" w:gutter="0" w:footer="0" w:header="0"/>
        </w:sectPr>
      </w:pPr>
    </w:p>
    <w:bookmarkStart w:id="1" w:name="page2"/>
    <w:bookmarkEnd w:id="1"/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Voting Results of the 2024 Annual General Meeting of the Company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Change of Authorized Share Capital and Share Consolidation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340" w:firstLine="374"/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IT WAS RESOLVED BY AN ORDINARY RESOLUTION THAT every two (2) issued and unissued ordinary shares of a nominal or par value of US$0.0001 each in the capital of the Company be consolidated into one (1) share of a nominal or par value of US$0.0002 each (each a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Consolidated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Share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and such Consolidated Shares shall rank pari passu in all respects with each other in accordance with the Company's currently effective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memorandum and articles of association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Share Consolidation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such that following the Share Consolidation the authorized share capital of the Company will be changed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Change of Authorized Share Capital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from US$50,000 divided into 500,000,000 shares of a nominal or par value of US$0.0001 each, to US$50,000 divided into 250,000,000 shares of a nominal or par value of US$0.0002 each, and no fractional shares be issued in connection with the Share Consolidation.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Voting Results of the 2024 Annual General Meeting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60" w:firstLine="37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 total of 137,767,764 ordinary shares (including ordinary shares represented by ADSs), representing 77.9% of all issued and outstanding shares of the Company as of the record date, were present at the meeting in person or by proxy. The voting results are as follows: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3"/>
        </w:trPr>
        <w:tc>
          <w:tcPr>
            <w:tcW w:w="4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auto"/>
              </w:rPr>
              <w:t>Resolutions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auto"/>
              </w:rPr>
              <w:t>For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auto"/>
              </w:rPr>
              <w:t>Against</w:t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auto"/>
                <w:w w:val="99"/>
              </w:rPr>
              <w:t>Abstain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2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auto"/>
              </w:rPr>
              <w:t>Votes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1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auto"/>
              </w:rPr>
              <w:t>%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2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auto"/>
              </w:rPr>
              <w:t>Votes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1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auto"/>
              </w:rPr>
              <w:t>%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2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auto"/>
              </w:rPr>
              <w:t>Votes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1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auto"/>
              </w:rPr>
              <w:t>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Change of Authorized Share Capital and Share Consolidation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137,344,082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99.7 %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253,334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0.2 %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170,348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0.1 %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-128270</wp:posOffset>
            </wp:positionV>
            <wp:extent cx="7132320" cy="128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right="260" w:firstLine="37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Share Consolidation will become effective on December 6, 2024. Concurrently on the same day, a change in the ADS ratio proportionate to the Share Consolidation will take effect.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367030</wp:posOffset>
            </wp:positionV>
            <wp:extent cx="7157720" cy="425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80"/>
          </w:cols>
          <w:pgMar w:left="320" w:top="621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96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ind w:left="1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Opera Limited</w:t>
            </w:r>
          </w:p>
        </w:tc>
      </w:tr>
      <w:tr>
        <w:trPr>
          <w:trHeight w:val="432"/>
        </w:trPr>
        <w:tc>
          <w:tcPr>
            <w:tcW w:w="3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December 3, 2024</w:t>
            </w:r>
          </w:p>
        </w:tc>
        <w:tc>
          <w:tcPr>
            <w:tcW w:w="2580" w:type="dxa"/>
            <w:vAlign w:val="bottom"/>
          </w:tcPr>
          <w:p>
            <w:pPr>
              <w:ind w:left="1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49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James Yahui Zhou</w:t>
            </w:r>
          </w:p>
        </w:tc>
      </w:tr>
      <w:tr>
        <w:trPr>
          <w:trHeight w:val="191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19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940" w:type="dxa"/>
            <w:vAlign w:val="bottom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James Yahui Zhou</w:t>
            </w:r>
          </w:p>
        </w:tc>
      </w:tr>
      <w:tr>
        <w:trPr>
          <w:trHeight w:val="234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1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Chairman of the Board and Chief Executive Officer</w:t>
            </w:r>
          </w:p>
        </w:tc>
      </w:tr>
      <w:tr>
        <w:trPr>
          <w:trHeight w:val="844"/>
        </w:trPr>
        <w:tc>
          <w:tcPr>
            <w:tcW w:w="3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7115810</wp:posOffset>
            </wp:positionH>
            <wp:positionV relativeFrom="paragraph">
              <wp:posOffset>-29210</wp:posOffset>
            </wp:positionV>
            <wp:extent cx="33655" cy="425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-29210</wp:posOffset>
            </wp:positionV>
            <wp:extent cx="3429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63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2024-12-03T15:36:22Z</dcterms:created>
  <dcterms:modified xsi:type="dcterms:W3CDTF">2024-12-03T15:36:22Z</dcterms:modified>
</cp:coreProperties>
</file>