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40"/>
        <w:spacing w:after="0"/>
        <w:rPr>
          <w:sz w:val="20"/>
          <w:szCs w:val="20"/>
          <w:color w:val="auto"/>
        </w:rPr>
      </w:pPr>
      <w:r>
        <w:rPr>
          <w:rFonts w:ascii="Arial" w:cs="Arial" w:eastAsia="Arial" w:hAnsi="Arial"/>
          <w:sz w:val="18"/>
          <w:szCs w:val="18"/>
          <w:b w:val="1"/>
          <w:bCs w:val="1"/>
          <w:color w:val="auto"/>
        </w:rPr>
        <w:t>As filed with the Securities and Exchange Commission on September 10, 2019</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51435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111760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88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8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FORM F-3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880"/>
        <w:spacing w:after="0"/>
        <w:rPr>
          <w:sz w:val="20"/>
          <w:szCs w:val="20"/>
          <w:color w:val="auto"/>
        </w:rPr>
      </w:pPr>
      <w:r>
        <w:rPr>
          <w:rFonts w:ascii="Arial" w:cs="Arial" w:eastAsia="Arial" w:hAnsi="Arial"/>
          <w:sz w:val="43"/>
          <w:szCs w:val="43"/>
          <w:b w:val="1"/>
          <w:bCs w:val="1"/>
          <w:color w:val="auto"/>
        </w:rPr>
        <w:t>Opera Limited</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(Translation of registrant’s name into English)</w:t>
      </w:r>
    </w:p>
    <w:p>
      <w:pPr>
        <w:sectPr>
          <w:pgSz w:w="11900" w:h="16838" w:orient="portrait"/>
          <w:cols w:equalWidth="0" w:num="1">
            <w:col w:w="9900"/>
          </w:cols>
          <w:pgMar w:left="1440" w:top="445" w:right="559" w:bottom="1440" w:gutter="0" w:footer="0" w:header="0"/>
        </w:sectPr>
      </w:pPr>
    </w:p>
    <w:p>
      <w:pPr>
        <w:spacing w:after="0" w:line="207"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760" w:space="720"/>
            <w:col w:w="3420"/>
          </w:cols>
          <w:pgMar w:left="1440" w:top="445" w:right="559" w:bottom="1440" w:gutter="0" w:footer="0" w:header="0"/>
          <w:type w:val="continuous"/>
        </w:sectPr>
      </w:pPr>
    </w:p>
    <w:p>
      <w:pPr>
        <w:spacing w:after="0" w:line="30"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Gjerdrums vei 19, 0484 Oslo, Norway</w:t>
      </w:r>
    </w:p>
    <w:p>
      <w:pPr>
        <w:spacing w:after="0" w:line="5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+47 2369-2400</w:t>
      </w:r>
    </w:p>
    <w:p>
      <w:pPr>
        <w:sectPr>
          <w:pgSz w:w="11900" w:h="16838" w:orient="portrait"/>
          <w:cols w:equalWidth="0" w:num="1">
            <w:col w:w="9900"/>
          </w:cols>
          <w:pgMar w:left="1440" w:top="445" w:right="559" w:bottom="1440" w:gutter="0" w:footer="0" w:header="0"/>
          <w:type w:val="continuous"/>
        </w:sectPr>
      </w:pPr>
    </w:p>
    <w:p>
      <w:pPr>
        <w:spacing w:after="0" w:line="207"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203835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1"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Cogency Global Inc.</w:t>
      </w:r>
    </w:p>
    <w:p>
      <w:pPr>
        <w:spacing w:after="0" w:line="1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10 East 40th Street, 10th Floor</w:t>
      </w:r>
    </w:p>
    <w:p>
      <w:pPr>
        <w:spacing w:after="0" w:line="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USA</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+1 800 221-0102</w:t>
      </w:r>
    </w:p>
    <w:p>
      <w:pPr>
        <w:spacing w:after="0" w:line="207" w:lineRule="exact"/>
        <w:rPr>
          <w:sz w:val="24"/>
          <w:szCs w:val="24"/>
          <w:color w:val="auto"/>
        </w:rPr>
      </w:pPr>
    </w:p>
    <w:p>
      <w:pPr>
        <w:ind w:left="2220"/>
        <w:spacing w:after="0"/>
        <w:rPr>
          <w:sz w:val="20"/>
          <w:szCs w:val="20"/>
          <w:color w:val="auto"/>
        </w:rPr>
      </w:pPr>
      <w:r>
        <w:rPr>
          <w:rFonts w:ascii="Arial" w:cs="Arial" w:eastAsia="Arial" w:hAnsi="Arial"/>
          <w:sz w:val="17"/>
          <w:szCs w:val="17"/>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196215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David T. Zhang, Esq.</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Benjamin W. James, Esq.</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Kirkland &amp; Ellis International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c/o 26th Floor, Gloucester Tower, The Landmark</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15 Queen’s Road Central, Hong Kong</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+852 3761-3300</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Steve Lin, Esq.</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Kirkland &amp; Ellis International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29th Floor, China World Office 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No. 1 Jian Guo Men Wai Avenue</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Beijing 100004, P.R. China</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+86 10-5737-9315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177165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580390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00"/>
          </w:cols>
          <w:pgMar w:left="1440" w:top="445" w:right="55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only securities being registered on this Form are being offered pursuant to dividend or interest reinvestment plans, please check the following</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216" w:lineRule="exact"/>
        <w:rPr>
          <w:sz w:val="20"/>
          <w:szCs w:val="20"/>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6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8"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ind w:left="300" w:hanging="292"/>
        <w:spacing w:after="0" w:line="207" w:lineRule="exact"/>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of the Securities Act </w:t>
      </w:r>
      <w:r>
        <w:rPr>
          <w:rFonts w:ascii="MS PGothic" w:cs="MS PGothic" w:eastAsia="MS PGothic" w:hAnsi="MS PGothic"/>
          <w:sz w:val="18"/>
          <w:szCs w:val="18"/>
          <w:color w:val="auto"/>
        </w:rPr>
        <w:t>☐</w:t>
      </w:r>
    </w:p>
    <w:p>
      <w:pPr>
        <w:spacing w:after="0" w:line="215" w:lineRule="exact"/>
        <w:rPr>
          <w:rFonts w:ascii="Arial" w:cs="Arial" w:eastAsia="Arial" w:hAnsi="Arial"/>
          <w:sz w:val="18"/>
          <w:szCs w:val="18"/>
          <w:color w:val="auto"/>
        </w:rPr>
      </w:pPr>
    </w:p>
    <w:p>
      <w:pPr>
        <w:ind w:right="860" w:firstLine="656"/>
        <w:spacing w:after="0" w:line="277" w:lineRule="auto"/>
        <w:tabs>
          <w:tab w:leader="none" w:pos="783"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gridSpan w:val="4"/>
          </w:tcPr>
          <w:p>
            <w:pPr>
              <w:ind w:left="3460"/>
              <w:spacing w:after="0"/>
              <w:rPr>
                <w:sz w:val="20"/>
                <w:szCs w:val="20"/>
                <w:color w:val="auto"/>
              </w:rPr>
            </w:pPr>
            <w:r>
              <w:rPr>
                <w:rFonts w:ascii="Arial" w:cs="Arial" w:eastAsia="Arial" w:hAnsi="Arial"/>
                <w:sz w:val="18"/>
                <w:szCs w:val="18"/>
                <w:b w:val="1"/>
                <w:bCs w:val="1"/>
                <w:color w:val="auto"/>
              </w:rPr>
              <w:t>CALCULATION OF REGISTRATION FEE</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Proposed maximum aggregate</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4700" w:type="dxa"/>
            <w:vAlign w:val="bottom"/>
          </w:tcPr>
          <w:p>
            <w:pPr>
              <w:ind w:left="300"/>
              <w:spacing w:after="0" w:line="266" w:lineRule="exact"/>
              <w:rPr>
                <w:sz w:val="20"/>
                <w:szCs w:val="20"/>
                <w:color w:val="auto"/>
              </w:rPr>
            </w:pPr>
            <w:r>
              <w:rPr>
                <w:rFonts w:ascii="Arial" w:cs="Arial" w:eastAsia="Arial" w:hAnsi="Arial"/>
                <w:sz w:val="18"/>
                <w:szCs w:val="18"/>
                <w:b w:val="1"/>
                <w:bCs w:val="1"/>
                <w:color w:val="auto"/>
                <w:w w:val="91"/>
              </w:rPr>
              <w:t>Title of each class of securities to be registered</w:t>
            </w:r>
            <w:r>
              <w:rPr>
                <w:rFonts w:ascii="Arial" w:cs="Arial" w:eastAsia="Arial" w:hAnsi="Arial"/>
                <w:sz w:val="30"/>
                <w:szCs w:val="30"/>
                <w:color w:val="auto"/>
                <w:w w:val="91"/>
                <w:vertAlign w:val="superscript"/>
              </w:rPr>
              <w:t>(1)(2)(3)</w:t>
            </w:r>
          </w:p>
        </w:tc>
        <w:tc>
          <w:tcPr>
            <w:tcW w:w="200" w:type="dxa"/>
            <w:vAlign w:val="bottom"/>
          </w:tcPr>
          <w:p>
            <w:pPr>
              <w:spacing w:after="0"/>
              <w:rPr>
                <w:sz w:val="23"/>
                <w:szCs w:val="23"/>
                <w:color w:val="auto"/>
              </w:rPr>
            </w:pPr>
          </w:p>
        </w:tc>
        <w:tc>
          <w:tcPr>
            <w:tcW w:w="2780" w:type="dxa"/>
            <w:vAlign w:val="bottom"/>
            <w:gridSpan w:val="2"/>
          </w:tcPr>
          <w:p>
            <w:pPr>
              <w:jc w:val="center"/>
              <w:ind w:right="220"/>
              <w:spacing w:after="0" w:line="266" w:lineRule="exact"/>
              <w:rPr>
                <w:sz w:val="20"/>
                <w:szCs w:val="20"/>
                <w:color w:val="auto"/>
              </w:rPr>
            </w:pPr>
            <w:r>
              <w:rPr>
                <w:rFonts w:ascii="Arial" w:cs="Arial" w:eastAsia="Arial" w:hAnsi="Arial"/>
                <w:sz w:val="18"/>
                <w:szCs w:val="18"/>
                <w:b w:val="1"/>
                <w:bCs w:val="1"/>
                <w:color w:val="auto"/>
                <w:w w:val="85"/>
              </w:rPr>
              <w:t>offering price</w:t>
            </w:r>
            <w:r>
              <w:rPr>
                <w:rFonts w:ascii="Arial" w:cs="Arial" w:eastAsia="Arial" w:hAnsi="Arial"/>
                <w:sz w:val="30"/>
                <w:szCs w:val="30"/>
                <w:color w:val="auto"/>
                <w:w w:val="85"/>
                <w:vertAlign w:val="superscript"/>
              </w:rPr>
              <w:t>(4)(5)</w:t>
            </w:r>
          </w:p>
        </w:tc>
        <w:tc>
          <w:tcPr>
            <w:tcW w:w="258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 of registration fee</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par value US$0.0001 per share</w:t>
            </w:r>
          </w:p>
        </w:tc>
        <w:tc>
          <w:tcPr>
            <w:tcW w:w="20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340"/>
              <w:spacing w:after="0"/>
              <w:rPr>
                <w:sz w:val="20"/>
                <w:szCs w:val="20"/>
                <w:color w:val="auto"/>
              </w:rPr>
            </w:pPr>
            <w:r>
              <w:rPr>
                <w:rFonts w:ascii="Arial" w:cs="Arial" w:eastAsia="Arial" w:hAnsi="Arial"/>
                <w:sz w:val="18"/>
                <w:szCs w:val="18"/>
                <w:b w:val="1"/>
                <w:bCs w:val="1"/>
                <w:color w:val="auto"/>
              </w:rPr>
              <w:t>US$200,000,000</w:t>
            </w:r>
          </w:p>
        </w:tc>
        <w:tc>
          <w:tcPr>
            <w:tcW w:w="256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w w:val="88"/>
              </w:rPr>
              <w:t>US$24,240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and (ii) securities that may be purchased by the underwriters pursuant to an over-allotment option. These securities are not being registered for the purposes of sales outside of the United States.</w:t>
      </w:r>
    </w:p>
    <w:p>
      <w:pPr>
        <w:spacing w:after="0" w:line="186"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securities being registered also include such indeterminate number of securities as may be issued upon exercise, conversion or exchange of other securities. Separate consideration may or may not be received for securities that are issuable on exercise, conversion or exchange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left="660" w:right="3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depositary shares issuable upon deposit of the shares registered hereby have been registered under a separate registration statement on Form F-6 (Registration No. 333- 226171).</w:t>
      </w:r>
    </w:p>
    <w:p>
      <w:pPr>
        <w:spacing w:after="0" w:line="170"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proposed maximum aggregate offering price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w:t>
      </w:r>
    </w:p>
    <w:p>
      <w:pPr>
        <w:spacing w:after="0" w:line="181"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purposes of calculating the registration fee pursuant to Rule 457(o) under the Securities Act and reflects the maximum offering price of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288925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September 10,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Opera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926465" cy="1252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64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Ordinary 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Shares</w:t>
      </w:r>
    </w:p>
    <w:p>
      <w:pPr>
        <w:jc w:val="center"/>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200" w:lineRule="exact"/>
        <w:rPr>
          <w:sz w:val="20"/>
          <w:szCs w:val="20"/>
          <w:color w:val="auto"/>
        </w:rPr>
      </w:pP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may offer and sell from time to time ordinary shares, including ordinary shares represented by American depositary shares, or ADSs, preferred shares, debt securities and warrants of Opera Limited in any combination from time to time in one or more offerings, at prices and on terms described in one or more supplements to this prospectus. The securities offered by this prospectus will have an aggregate offering price of up to US$200 million. The preferred shares, debt securities and warrants may be convertible into or exercisable or exchangeable for our ordinary shares or other securities. This prospectus provides you with a general description of the securities we may offer.</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Each time we sell the securities, we will provide a supplement to this prospectus that contains specific information about the offering and the terms of the securities. The supplement may also add, update or change information contained in this prospectus. You should carefully read this prospectus and any prospectus supplement before you invest in any of our securities.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may sell the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“OPRA.”</w:t>
      </w:r>
    </w:p>
    <w:p>
      <w:pPr>
        <w:spacing w:after="0" w:line="22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Investing in our securities involves risks. See the “Risk Factors” section contained in the applicable prospectus supplement, any related free writing prospectus and the documents we incorporate by reference in this prospectus to read about factors you should consider before investing in our securities.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180"/>
              <w:spacing w:after="0"/>
              <w:rPr>
                <w:sz w:val="20"/>
                <w:szCs w:val="20"/>
                <w:color w:val="auto"/>
              </w:rPr>
            </w:pPr>
            <w:r>
              <w:rPr>
                <w:rFonts w:ascii="Arial" w:cs="Arial" w:eastAsia="Arial" w:hAnsi="Arial"/>
                <w:sz w:val="18"/>
                <w:szCs w:val="18"/>
                <w:color w:val="auto"/>
                <w:w w:val="99"/>
              </w:rPr>
              <w:t>The date of this prospectus is</w:t>
            </w:r>
          </w:p>
        </w:tc>
        <w:tc>
          <w:tcPr>
            <w:tcW w:w="4880" w:type="dxa"/>
            <w:vAlign w:val="bottom"/>
          </w:tcPr>
          <w:p>
            <w:pPr>
              <w:jc w:val="right"/>
              <w:ind w:right="4090"/>
              <w:spacing w:after="0"/>
              <w:rPr>
                <w:sz w:val="20"/>
                <w:szCs w:val="20"/>
                <w:color w:val="auto"/>
              </w:rPr>
            </w:pPr>
            <w:r>
              <w:rPr>
                <w:rFonts w:ascii="Arial" w:cs="Arial" w:eastAsia="Arial" w:hAnsi="Arial"/>
                <w:sz w:val="18"/>
                <w:szCs w:val="18"/>
                <w:color w:val="auto"/>
              </w:rPr>
              <w:t>, 2019</w:t>
            </w:r>
          </w:p>
        </w:tc>
      </w:tr>
      <w:tr>
        <w:trPr>
          <w:trHeight w:val="574"/>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 ABOUT US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DOCUMENTS BY REFERENCE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OUR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SECURITIES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CAPITAL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ORDINARY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AMERICAN DEPOSITARY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PREFERRED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two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or “ordinary shares” refer to our ordinary shares, par value US$0.0001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 “our company,” “the Group,” “our group,” “our” or “Opera” refers to Opera Limited, an exempt company incorporated under the laws of the Cayman Islands with limited liability that is the holding company of our group.</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is part of a registration statement on Form F-3 that we filed with the U.S. Securities and Exchange Commission, or the SEC, using a “shelf” registration process permitted under the Securities Act of 1933, as amended, or the Securities Act. By using a shelf registration statement, we may sell our shares, debt securities and warrants or any combination of any of the foregoing having an aggregate initial offering price of up to US$200,000,000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supplement, together with the additional information described under the heading “Where You Can Find More Information About Us” and “Incorporation of Documents by Reference.”</w:t>
      </w:r>
    </w:p>
    <w:p>
      <w:pPr>
        <w:spacing w:after="0" w:line="18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prospectus and any prospectus supplement are part of a registration statement we have filed with the SEC. This prospectus and any prospectus supplement omit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5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www.opera.com</w:t>
      </w:r>
      <w:r>
        <w:rPr>
          <w:rFonts w:ascii="Arial" w:cs="Arial" w:eastAsia="Arial" w:hAnsi="Arial"/>
          <w:sz w:val="16"/>
          <w:szCs w:val="16"/>
          <w:color w:val="auto"/>
        </w:rPr>
        <w:t>. The information on our website, however, is not, and should not be deemed to be, a part of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25" w:lineRule="exact"/>
        <w:rPr>
          <w:sz w:val="20"/>
          <w:szCs w:val="20"/>
          <w:color w:val="auto"/>
        </w:rPr>
      </w:pPr>
    </w:p>
    <w:p>
      <w:pPr>
        <w:ind w:left="980" w:right="1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filed with the SEC on April 17, 2019, or the 2018 Annual Report; and</w:t>
      </w:r>
    </w:p>
    <w:p>
      <w:pPr>
        <w:spacing w:after="0" w:line="170" w:lineRule="exact"/>
        <w:rPr>
          <w:rFonts w:ascii="Arial" w:cs="Arial" w:eastAsia="Arial" w:hAnsi="Arial"/>
          <w:sz w:val="18"/>
          <w:szCs w:val="18"/>
          <w:color w:val="auto"/>
        </w:rPr>
      </w:pPr>
    </w:p>
    <w:p>
      <w:pPr>
        <w:ind w:left="980" w:right="4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2018 Annual Report contains a description of our business and audited consolidated financial statements with a report by our independent auditors. The consolidated financial statements are prepared and presented in accordance with International Financial Reporting Standards, as issued by the International Accounting Standards Board, or IFRS.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 Software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Derrick Nueman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investor-relations@opera.com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and any prospectus supplement (including statements incorporated by reference herein) entitled “Risk Factors,” “Business” and “Management’s Discussion and Analysis of Financial Condition and Results of Operations,” among others, discuss factors which could adversely impact our business and financial performance.</w:t>
      </w:r>
    </w:p>
    <w:p>
      <w:pPr>
        <w:spacing w:after="0" w:line="178"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7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development and launch, and market acceptance, of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growth in, and market size of, the global internet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platforms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growth in our user base and level of engagement;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retain and monetize users;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of and trends of competition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9" w:name="page10"/>
    <w:bookmarkEnd w:id="9"/>
    <w:p>
      <w:pPr>
        <w:ind w:firstLine="648"/>
        <w:spacing w:after="0" w:line="288" w:lineRule="auto"/>
        <w:rPr>
          <w:sz w:val="20"/>
          <w:szCs w:val="20"/>
          <w:color w:val="auto"/>
        </w:rPr>
      </w:pPr>
      <w:r>
        <w:rPr>
          <w:rFonts w:ascii="Arial" w:cs="Arial" w:eastAsia="Arial" w:hAnsi="Arial"/>
          <w:sz w:val="16"/>
          <w:szCs w:val="16"/>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0" w:name="page11"/>
    <w:bookmarkEnd w:id="10"/>
    <w:p>
      <w:pPr>
        <w:jc w:val="center"/>
        <w:ind w:right="-4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Opera is one of the world's most influential web innovators. The company delivers browsers, news and content platforms, fintech solutions and certain retail offerings to a quickly growing base of 350 million users worldwide.</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Our principal executive offices are located at Gjerdrums vei 19, 0484 Oslo, Norway. Our telephone number at this address is +47 2369-2400.</w:t>
      </w:r>
    </w:p>
    <w:p>
      <w:pPr>
        <w:spacing w:after="0" w:line="2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580" w:right="6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Investing in our securities involves risk. You should carefully consider the risk factors and uncertainties described under the heading “Item 3. Key Information—D. Risk Factors” in our most recently filed annual report on Form 20-F, which is incorporated in this prospectus by reference, as updated by our subsequent filings under the Securities Exchange Act of 1934, as amended, and, if applicable, in any accompanying prospectus supplement before investing in any of the securities that may be offered or sold pursuant to this prospectus. These risks and uncertainties could materially affect our business, results of operations or financial condition and cause the value of our securities to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ind w:left="420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from the sale of the securities registered as set forth in the applicable prospectus supplement.</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do not have standing to sue before the federal courts of the United States.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executive officers, directors and shareholders, be subject to arbitration.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of any State in the United States or any action brought against us in the Supreme Court of the State of New York in the County of New York in connection with this offering under the securities laws of the State of New York.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Maples and Calder (Hong Kong) LLP, our counsel as to Cayman Islands law, has advised us that there is uncertainty as to whether the courts of the Cayman Islands would (i) recognize or enforce judgments of U.S. courts obtained against us or our directors or executive officers that are predicated upon the civil liability provisions of the securities laws of the United States or any state in the United States, or (ii) entertain original actions brought in the Cayman Islands against us or our directors or executive officers that are predicated upon the securities laws of the United States or any state in the United States.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on the judgment debtor a liability to pay a liquidated sum for which the judgment has been given, (c) is final and conclusive,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Norway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Wikborg Rein Advokatfirma AS, our counsel as to Norwegian law, has advised us that there is uncertainty as to whether courts in Norway will enforce judgments obtained in other jurisdictions, including the United States, against us or our directors and officers under the securities laws of those jurisdictions or entertain actions in Norway against our directors and officers under the securities laws of other jurisdictions. The United States and Norway do not currently have a treaty providing for reciprocal recognition and enforcement of judgements (other than arbitral awards) in civil and commercial matters.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 final, non-appealable, conclusive and enforceable judgment issued by (i) a court of a member state of the Lugano Convention of 30 October 2007 or (ii) a court the respective parties in a particular civil matter have submitted in writing to the exclusive jurisdiction of, would be recognized and enforceable in the courts of Norway according to applicable procedures; subject to (a) the enforcement not being in conflict with decency, Norwegian mandatory law or public policy (“ordre public,”) (b) the judgment not concerning the constitution, dissolution of companies or other persons, or the validity of the resolutions of their decision-making bodies, or (c) any Norwegian debt settlement negotiations, bankruptcy, insolvency, liquidation, enforcement or similar proceedings.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awards of punitive damages in actions brought in the United States or elsewhere may not be enforceable in Norway.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jc w:val="center"/>
        <w:ind w:right="-19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offer and sell from time to time, in one or more offerings, the following securities:</w:t>
      </w:r>
    </w:p>
    <w:p>
      <w:pPr>
        <w:spacing w:after="0" w:line="225"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shares, including ordinary shares represented by ADSs;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ordinary shares, preferred shares or ADSs.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is a description of the terms and provisions of our shares, preferred shares, debt securities and warrants to purchase shares, preferred shares or debt securities, which we may offer and sell using this prospectus. These summaries are not meant to be a complete description of each security. We will set forth in the applicable prospectus supplement a description of the preferred shares, warrants, and, in certain cases, the ordinary shares (including ordinary shares represented by ADSs) that may be offered under this prospectus. The terms of the offering of securities, the initial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We are a Cayman Islands company and our affairs are governed by our second amended and restated memorandum and articles of association, or the Second M&amp;A and the Companies Law (as amended) of the Cayman Islands, or Companies Law, and the common law of the Cayman Islands.</w:t>
      </w:r>
    </w:p>
    <w:p>
      <w:pPr>
        <w:spacing w:after="0" w:line="124"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As of the date of this prospectus, our authorized share capital consists of US$50,000 divided into 500,000,000 ordinary shares with a par value of US$0.0001 each. As of the date of this prospectus, there are 220,576,326 ordinary shares issued and outstanding.</w:t>
      </w:r>
    </w:p>
    <w:p>
      <w:pPr>
        <w:spacing w:after="0" w:line="17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are summaries of material provisions of our Second M&amp;A and the Companies Law as they relate to the material terms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2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is not required to open its register of members for inspection;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All of our outstanding ordinary shares are fully paid and non-assessable. Our shareholders who are non-residents of the Cayman Islands may freely hold and vote their ordinary shares. Our Second M&amp;A prohibit us from issuing bearer or negotiable shares. Our company will issue only non-negotiable shares in registered form, which will be issued when registered in our register of members.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holders of our ordinary shares are entitled to receive such dividends as may be declared by our board of directors subject to our Second M&amp;A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Companies Law. In addition, our shareholders may by ordinary resolution declare a dividend, but no dividend may exceed the amount recommended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directors. Under Cayman Islands law, dividends may be paid only out of profits, which include net earnings and retained earnings undistributed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prior years, and out of share premium, a concept analogous to paid-in surplus in the United States. No dividend may be declared and paid unless our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that, immediately after the payment, we will be able to pay our debts as they fall due in the ordinary course of business and we have funds lawfully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for such purpose.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Cayman Islands law, we must keep a register of members and there must be entered therein:</w:t>
      </w:r>
    </w:p>
    <w:p>
      <w:pPr>
        <w:spacing w:after="0" w:line="225" w:lineRule="exact"/>
        <w:rPr>
          <w:sz w:val="20"/>
          <w:szCs w:val="20"/>
          <w:color w:val="auto"/>
        </w:rPr>
      </w:pPr>
    </w:p>
    <w:p>
      <w:pPr>
        <w:ind w:left="980" w:right="1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completion of this offering, our register of members will be immediately updated to record and give effect to the issue of ordinary shares by us to Bank of New York Mellon, as the depositary (or its custodian or nominee). Once our register of members has been updated, the shareholders recorded in the register of members shall be deemed to have legal title to the shares set against their name.</w:t>
      </w:r>
    </w:p>
    <w:p>
      <w:pPr>
        <w:spacing w:after="0" w:line="178"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If the name of any person is, without sufficient cause, entered in or omitted from the register of members, or if default is made or unnecessary delay takes place in entering on the register the fact of any person having ceased to be a member, the person or member aggrieved or any member or the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Holders of our ordinary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or one or more shareholders present in person or by proxy entitled to vote and who together hold not less than 10% of all paid up voting share capital of our company. An ordinary resolution to be passed by the shareholders requires the affirmative vote of a simple majority of the votes cast in a general meeting. A special resolution requires the affirmative vote of no less than two-thirds of the votes cast in a general meeting. Both ordinary resolutions and special resolutions may also be passed by a unanimous written resolution signed by all the shareholders of our company, as permitted by the Companies Law and our Second M&amp;A. A special resolution will be required for important matters such as a change of name or making changes to our memorandum and articles of association.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and Shareholder Proposals</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a Cayman Islands exempted company, we are not obliged by the Companies Law to call shareholders’ annual general meetings. Our Second M&amp;A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within one year of the end of each fiscal year following listing, as required by the Listing Rules of the NASDAQ Stock Market.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9" w:name="page20"/>
    <w:bookmarkEnd w:id="19"/>
    <w:p>
      <w:pPr>
        <w:ind w:right="40" w:firstLine="360"/>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our Second M&amp;A allow our shareholders holding shares representing in aggregate not less than one-third of all votes attaching to the issued and outstanding shares of our company entitled to vote at general meetings to requisition a special meeting of the shareholders, in which case the directors are obliged to call such meeting and to put the resolutions so requisitioned to a vote at such meeting; however, our Second M&amp;A do not provide our shareholders with any right to put any proposals before annual general meetings or extraordinary general meetings not called by such shareholders.</w:t>
      </w:r>
    </w:p>
    <w:p>
      <w:pPr>
        <w:spacing w:after="0" w:line="193"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A quorum required for a meeting of shareholders consists of one or more shareholders holding, in aggregate, not less than one-third of the votes attaching to all paid up share capital of our company present in person or by proxy or, if a corporation or other non-natural person, by its duly authorized representative. Advance notice of at least seven calendar days is required for the convening of our annual general meeting and other shareholders’ meetings.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Subject to the restrictions in our Second M&amp;A as set out below, any of our shareholders may transfer all or any of his or her ordinary shares by an instrument of transfer in the usual or common form or any other form approved by our board.</w:t>
      </w:r>
    </w:p>
    <w:p>
      <w:pPr>
        <w:spacing w:after="0" w:line="17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170"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our directors refuse to register a transfer they are obligated to, within three months after the date on which the instrument of transfer was lodged, send to each of the transferor and the transferee notice of such refusal. The registration of transfers of shares or of any class of shares may, after compliance with any notice requirement of the designated stock exchange, be suspended at such times and for such periods (not exceeding in the whole thirty (30) days in any year) as our board of directors may determine.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Our Second M&amp;A authorize our board of directors to issue additional ordinary shares from time to time as our board of directors shall determine, to the extent of available authorized but unissued shares. Our Second M&amp;A also authorize our board of directors to establish from time to time one or more series of preference shares and to determine, with respect to any series of preference shares, the terms and rights of that series, including:</w:t>
      </w:r>
    </w:p>
    <w:p>
      <w:pPr>
        <w:spacing w:after="0" w:line="16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Our board of directors may issue preference shares without further action by our shareholders to the extent authorized but unissued. Issuance of these shares may dilute the voting power of holders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We are a “limited liability” company registered under the Companies Law, and under the Companies Law, the liability of our members is limited to the amount, if any, unpaid on the shares respectively held by them. Our Second M&amp;A contain a declaration that the liability of our members is so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25"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in a notice served to such shareholders at least fourteen calendar days prior to the specified time and place of payment. The ordinary shares that have been called upon and remain unpaid on the specified time are subject to forfeiture.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25"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Second M&amp;A.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If at any time the share capital is divided into different classes of shares, the rights attached to any class of shares may, unless otherwise provided by the terms of issue of the shares of or the rights attaching to that class, be varied either with the unanimous written consent of the holders of the issued shares of that class or with the sanction of a special resolution passed at a general meeting of the holders of the shares of that class.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 See “Where You Can Find More Information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may from time to time by ordinary resolutions:</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prescribes;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convert all or any of its paid up shares into stock and reconvert the stock into paid up shares of any denomination;</w:t>
      </w:r>
    </w:p>
    <w:p>
      <w:pPr>
        <w:spacing w:after="0" w:line="170"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than that fixed by our Second M&amp;A; provided that in the subdivision the proportion between the amount paid and the amount, if any, unpaid on each reduced share will be the same as it was in case of the share from which the reduced share is derived; and</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English law statutory enactments, and accordingly there are significant differences between the Companies Law and the current Companies Act of England. In addition, the Companies Law differs from laws applicable to Delaware corporations and their shareholders. Set forth below is a summary of certain significant differences between the provisions of the Companies Law applicable to us and the laws applicable to Delaware corporations and their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w:t>
      </w:r>
    </w:p>
    <w:p>
      <w:pPr>
        <w:spacing w:after="0" w:line="2" w:lineRule="exact"/>
        <w:rPr>
          <w:sz w:val="20"/>
          <w:szCs w:val="20"/>
          <w:color w:val="auto"/>
        </w:rPr>
      </w:pPr>
    </w:p>
    <w:p>
      <w:pPr>
        <w:ind w:right="40" w:firstLine="8"/>
        <w:spacing w:after="0" w:line="288"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40" w:firstLine="360"/>
        <w:spacing w:after="0" w:line="255" w:lineRule="auto"/>
        <w:rPr>
          <w:sz w:val="20"/>
          <w:szCs w:val="20"/>
          <w:color w:val="auto"/>
        </w:rPr>
      </w:pPr>
      <w:r>
        <w:rPr>
          <w:rFonts w:ascii="Arial" w:cs="Arial" w:eastAsia="Arial" w:hAnsi="Arial"/>
          <w:sz w:val="18"/>
          <w:szCs w:val="18"/>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spacing w:after="0" w:line="18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statutory provisions as to the due majority vote have been met;</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a derivative action in the name of, a company to challenge the following acts in the following circumstances:</w:t>
      </w:r>
    </w:p>
    <w:p>
      <w:pPr>
        <w:spacing w:after="0" w:line="18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left="980" w:right="1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spacing w:after="0" w:line="18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8"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or she owes the following duties to the company —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spacing w:after="0" w:line="1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our Second M&amp;A, directors who are in any way, whether directly or indirectly, interested in a contract or proposed contract with our company must declare the nature of their interest at a meeting of the board of directors. Subject to Listing Rules of the NASDAQ Stock Market and disqualification by the chairman of the relevant board meeting, a director may vote in respect of any contract, proposed contract, arrangement or transaction notwithstanding his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225"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The Companies Law and our Second M&amp;A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Second M&amp;A do not provide for cumulative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 Under our Second M&amp;A, directors can be removed by an ordinary resolution. In addition, a director’s office shall be vacated if the director (i) becomes bankrupt or makes any arrangement or composition with his creditors; (ii) dies or is found to be or becomes of unsound mind; (iii) resigns by notice in writing to the company; (iv) without special leave of absence from our board of directors, is absent from three consecutive meetings of the board and the board resolves that his office be vacated; (v) is prohibited by law from being a director; or (vi) is removed pursuant to our Second M&amp;A.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66"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22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Law, our company may be dissolved, liquidated or wound up by a special resolution, or by an ordinary resolution on the basis that our company is unable to pay its debts as they fall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under the Delaware General Corporation Law, a corporation may vary the rights of a class of shares with the approval of a majority of the outstanding shares of such class, unless the certificate of incorporation provides otherwise. Under our Second M&amp;A and as permitted by the Companies Law, if our share capital is divided into more than one class of shares, we may vary the rights attached to any class either with the unanimous written consent of the holders of the issued shares of that class or with the sanction of a special resolution passed at a general meeting of the holders of the shares of that class.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As required by the Companies Law, our Second M&amp;A may only be amended by a special resolution of our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shares will have no general right under Cayman Islands law to inspect or obtain copies of our list of shareholders or our corporate records.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intend to provide our shareholders with annual reports containing audited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380" w:firstLine="360"/>
        <w:spacing w:after="0" w:line="312" w:lineRule="auto"/>
        <w:rPr>
          <w:sz w:val="20"/>
          <w:szCs w:val="20"/>
          <w:color w:val="auto"/>
        </w:rPr>
      </w:pPr>
      <w:r>
        <w:rPr>
          <w:rFonts w:ascii="Arial" w:cs="Arial" w:eastAsia="Arial" w:hAnsi="Arial"/>
          <w:sz w:val="16"/>
          <w:szCs w:val="16"/>
          <w:color w:val="auto"/>
        </w:rPr>
        <w:t>Some provisions of our Second M&amp;A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4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Second M&amp;A for a proper purpose and for what they believe in good faith to be in the best interests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There are no limitations imposed by foreign law or by our Second M&amp;A on the rights of non-resident or foreign shareholders to hold or exercise voting rights on our ordinary shares. In addition, there are no provisions in our Second M&amp;A governing the ownership threshold above which shareholder ownership must be disclosed.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center"/>
        <w:ind w:right="-159"/>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issue our ordinary shares either alone or underlying other securities convertible into or exercisable or exchangeable for our ordinary shares.</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Holders of our ordinary shares are entitled to certain rights and subject to certain conditions as set forth in our Second M&amp;A and the Companies Law. See “Description of Share Capital.”</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represents two ordinary shares (or a right to receive two ordinary shares) deposited with The Hongkong and Shanghai Banking Corporation Limited, as custodian for the depositary in Hong Kong. Each ADS also represents any other securities, cash or other property which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58"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right="400" w:firstLine="36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See “Where You Can Find More Information About Us” for directions on how to obtain copies of those documents.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depositary will convert any cash dividend or other cash distribution we pay on the shares into U.S. Dollars, if it can do so on a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8" w:name="page29"/>
    <w:bookmarkEnd w:id="28"/>
    <w:p>
      <w:pPr>
        <w:ind w:right="40" w:firstLine="360"/>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“Taxation” in our most recently filed annual report on Form 20-F for additional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w:t>
      </w:r>
      <w:r>
        <w:rPr>
          <w:rFonts w:ascii="Arial" w:cs="Arial" w:eastAsia="Arial" w:hAnsi="Arial"/>
          <w:sz w:val="18"/>
          <w:szCs w:val="18"/>
          <w:color w:val="auto"/>
        </w:rPr>
        <w:t xml:space="preserve"> </w:t>
      </w:r>
      <w:r>
        <w:rPr>
          <w:rFonts w:ascii="Arial" w:cs="Arial" w:eastAsia="Arial" w:hAnsi="Arial"/>
          <w:sz w:val="18"/>
          <w:szCs w:val="18"/>
          <w:i w:val="1"/>
          <w:iCs w:val="1"/>
          <w:color w:val="auto"/>
        </w:rPr>
        <w:t>some of the value of the distribution</w:t>
      </w:r>
      <w:r>
        <w:rPr>
          <w:rFonts w:ascii="Arial" w:cs="Arial" w:eastAsia="Arial" w:hAnsi="Arial"/>
          <w:sz w:val="18"/>
          <w:szCs w:val="18"/>
          <w:color w:val="auto"/>
        </w:rPr>
        <w:t>.</w:t>
      </w:r>
    </w:p>
    <w:p>
      <w:pPr>
        <w:spacing w:after="0" w:line="18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 additional shares or any other rights,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66"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b w:val="1"/>
          <w:bCs w:val="1"/>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jc w:val="both"/>
        <w:ind w:right="40" w:firstLine="360"/>
        <w:spacing w:after="0" w:line="297" w:lineRule="auto"/>
        <w:rPr>
          <w:sz w:val="20"/>
          <w:szCs w:val="20"/>
          <w:color w:val="auto"/>
        </w:rPr>
      </w:pPr>
      <w:r>
        <w:rPr>
          <w:rFonts w:ascii="Arial" w:cs="Arial" w:eastAsia="Arial" w:hAnsi="Arial"/>
          <w:sz w:val="16"/>
          <w:szCs w:val="16"/>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ADS holders may instruct the depositary how to vote the number of deposited shares their ADSs represent. See “Description of Share Capital” for more information on the voting rights of our ordinary shares underlying the ADSs.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9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in voting deposited securities and it will only vote or attempt to vote as instructed.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shares.</w:t>
      </w:r>
    </w:p>
    <w:p>
      <w:pPr>
        <w:spacing w:after="0" w:line="225"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 xml:space="preserve">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24"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Fees and Expenses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Persons depositing or withdrawing shares or ADS holders must pay:</w:t>
      </w:r>
    </w:p>
    <w:p>
      <w:pPr>
        <w:spacing w:after="0"/>
        <w:rPr>
          <w:sz w:val="20"/>
          <w:szCs w:val="20"/>
          <w:color w:val="auto"/>
        </w:rPr>
      </w:pPr>
      <w:r>
        <w:rPr>
          <w:rFonts w:ascii="Arial" w:cs="Arial" w:eastAsia="Arial" w:hAnsi="Arial"/>
          <w:sz w:val="17"/>
          <w:szCs w:val="17"/>
          <w:color w:val="auto"/>
        </w:rPr>
        <w:t>US$5.00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992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4168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4460" w:space="360"/>
            <w:col w:w="6560"/>
          </w:cols>
          <w:pgMar w:left="240" w:top="580" w:right="279" w:bottom="1440" w:gutter="0" w:footer="0" w:header="0"/>
        </w:sectPr>
      </w:pPr>
    </w:p>
    <w:p>
      <w:pPr>
        <w:spacing w:after="0"/>
        <w:tabs>
          <w:tab w:leader="none" w:pos="4800" w:val="left"/>
        </w:tabs>
        <w:rPr>
          <w:sz w:val="20"/>
          <w:szCs w:val="20"/>
          <w:color w:val="auto"/>
        </w:rPr>
      </w:pPr>
      <w:r>
        <w:rPr>
          <w:rFonts w:ascii="Arial" w:cs="Arial" w:eastAsia="Arial" w:hAnsi="Arial"/>
          <w:sz w:val="18"/>
          <w:szCs w:val="18"/>
          <w:color w:val="auto"/>
        </w:rPr>
        <w:t>US$0.05 (or less) per ADS</w:t>
      </w:r>
      <w:r>
        <w:rPr>
          <w:sz w:val="20"/>
          <w:szCs w:val="20"/>
          <w:color w:val="auto"/>
        </w:rPr>
        <w:tab/>
      </w:r>
      <w:r>
        <w:rPr>
          <w:rFonts w:ascii="Arial" w:cs="Arial" w:eastAsia="Arial" w:hAnsi="Arial"/>
          <w:sz w:val="16"/>
          <w:szCs w:val="16"/>
          <w:color w:val="auto"/>
        </w:rPr>
        <w:t>Any cash distribution to ADS holders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A fee equivalent to the fee that would be payable if securities</w:t>
      </w:r>
      <w:r>
        <w:rPr>
          <w:sz w:val="20"/>
          <w:szCs w:val="20"/>
          <w:color w:val="auto"/>
        </w:rPr>
        <w:tab/>
      </w:r>
      <w:r>
        <w:rPr>
          <w:rFonts w:ascii="Arial" w:cs="Arial" w:eastAsia="Arial" w:hAnsi="Arial"/>
          <w:sz w:val="16"/>
          <w:szCs w:val="16"/>
          <w:color w:val="auto"/>
        </w:rPr>
        <w:t>Distribution of securities distributed to holders of deposited securities (including rights)</w:t>
      </w:r>
    </w:p>
    <w:p>
      <w:pPr>
        <w:spacing w:after="0" w:line="23"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distributed to you had been shares and the shares had been</w:t>
      </w:r>
      <w:r>
        <w:rPr>
          <w:sz w:val="20"/>
          <w:szCs w:val="20"/>
          <w:color w:val="auto"/>
        </w:rPr>
        <w:tab/>
      </w:r>
      <w:r>
        <w:rPr>
          <w:rFonts w:ascii="Arial" w:cs="Arial" w:eastAsia="Arial" w:hAnsi="Arial"/>
          <w:sz w:val="16"/>
          <w:szCs w:val="16"/>
          <w:color w:val="auto"/>
        </w:rPr>
        <w:t>that are distributed by the depositary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deposited for issuance of ADSs</w:t>
      </w:r>
    </w:p>
    <w:p>
      <w:pPr>
        <w:spacing w:after="0" w:line="211"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US$0.05 (or less) per ADS per calendar year</w:t>
      </w:r>
      <w:r>
        <w:rPr>
          <w:sz w:val="20"/>
          <w:szCs w:val="20"/>
          <w:color w:val="auto"/>
        </w:rPr>
        <w:tab/>
      </w:r>
      <w:r>
        <w:rPr>
          <w:rFonts w:ascii="Arial" w:cs="Arial" w:eastAsia="Arial" w:hAnsi="Arial"/>
          <w:sz w:val="16"/>
          <w:szCs w:val="16"/>
          <w:color w:val="auto"/>
        </w:rPr>
        <w:t>Depositary services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Registration or transfer fees</w:t>
      </w:r>
      <w:r>
        <w:rPr>
          <w:sz w:val="20"/>
          <w:szCs w:val="20"/>
          <w:color w:val="auto"/>
        </w:rPr>
        <w:tab/>
      </w:r>
      <w:r>
        <w:rPr>
          <w:rFonts w:ascii="Arial" w:cs="Arial" w:eastAsia="Arial" w:hAnsi="Arial"/>
          <w:sz w:val="16"/>
          <w:szCs w:val="16"/>
          <w:color w:val="auto"/>
        </w:rPr>
        <w:t>Transfer and registration of shares on our share register to or from the name of the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depositary or its agent when you deposit or withdraw shares</w:t>
      </w:r>
    </w:p>
    <w:p>
      <w:pPr>
        <w:spacing w:after="0" w:line="211"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6"/>
          <w:szCs w:val="16"/>
          <w:color w:val="auto"/>
        </w:rPr>
        <w:t>Cable and facsimile transmissions (when expressly provided in the deposit agreement)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Converting foreign currency to U.S. Dollars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Taxes and other governmental charges the depositary or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custodian has to pay on any ADSs or shares underlying ADSs,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stock transfer taxes, stamp duty or withholding taxes</w:t>
      </w:r>
    </w:p>
    <w:p>
      <w:pPr>
        <w:spacing w:after="0" w:line="211" w:lineRule="exact"/>
        <w:rPr>
          <w:sz w:val="20"/>
          <w:szCs w:val="20"/>
          <w:color w:val="auto"/>
        </w:rPr>
      </w:pPr>
    </w:p>
    <w:p>
      <w:pPr>
        <w:ind w:right="5600"/>
        <w:spacing w:after="0" w:line="277" w:lineRule="auto"/>
        <w:rPr>
          <w:sz w:val="20"/>
          <w:szCs w:val="20"/>
          <w:color w:val="auto"/>
        </w:rPr>
      </w:pPr>
      <w:r>
        <w:rPr>
          <w:rFonts w:ascii="Arial" w:cs="Arial" w:eastAsia="Arial" w:hAnsi="Arial"/>
          <w:sz w:val="18"/>
          <w:szCs w:val="18"/>
          <w:color w:val="auto"/>
        </w:rPr>
        <w:t>Any charges incurred by the depositary or its agents for servicing As necessary the deposited securities</w:t>
      </w:r>
    </w:p>
    <w:p>
      <w:pPr>
        <w:spacing w:after="0" w:line="17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7"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Cancelation of Deposited Securities</w:t>
      </w:r>
    </w:p>
    <w:p>
      <w:pPr>
        <w:spacing w:after="0" w:line="229"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4"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canceled, or if the deposited securities underlying ADSs have become apparently worthless, the depositary may call for surrender or of those ADSs or cancel those ADSs upon notice to the ADS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 agree to the</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 and to be bound by the ADRs and the deposit agreement as amended.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70" w:lineRule="exact"/>
        <w:rPr>
          <w:sz w:val="20"/>
          <w:szCs w:val="20"/>
          <w:color w:val="auto"/>
        </w:rPr>
      </w:pPr>
    </w:p>
    <w:p>
      <w:pPr>
        <w:ind w:left="980" w:right="8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 agreement expressly limits our obligations and the obligations of the depositary. It also limits our liability and the liability of the depositary.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211" w:lineRule="exact"/>
        <w:rPr>
          <w:sz w:val="20"/>
          <w:szCs w:val="20"/>
          <w:color w:val="auto"/>
        </w:rPr>
      </w:pPr>
    </w:p>
    <w:p>
      <w:pPr>
        <w:ind w:left="980" w:right="1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980" w:right="1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225" w:lineRule="exact"/>
        <w:rPr>
          <w:rFonts w:ascii="Arial" w:cs="Arial" w:eastAsia="Arial" w:hAnsi="Arial"/>
          <w:sz w:val="18"/>
          <w:szCs w:val="18"/>
          <w:color w:val="auto"/>
        </w:rPr>
      </w:pPr>
    </w:p>
    <w:p>
      <w:pPr>
        <w:jc w:val="both"/>
        <w:ind w:left="980" w:right="180" w:hanging="324"/>
        <w:spacing w:after="0" w:line="31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70" w:lineRule="exact"/>
        <w:rPr>
          <w:sz w:val="20"/>
          <w:szCs w:val="20"/>
          <w:color w:val="auto"/>
        </w:rPr>
      </w:pPr>
    </w:p>
    <w:p>
      <w:pPr>
        <w:ind w:left="980" w:right="1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25" w:lineRule="exact"/>
        <w:rPr>
          <w:sz w:val="20"/>
          <w:szCs w:val="20"/>
          <w:color w:val="auto"/>
        </w:rPr>
      </w:pPr>
    </w:p>
    <w:p>
      <w:pPr>
        <w:ind w:left="980" w:right="2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left="980" w:right="6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2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the Securities Act of 1933 or the rules and regulations promulgated thereunder.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DESCRIPTION OF OUR PREFERRED SHARES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has the authority, without shareholder approval, to issue preferred shares in one or more series out of our authorized share capital. Our board of directors may establish the number of shares to be included in each such series and may set the designations, preferences, powers and other rights of the shares of a series of preferred shares. Accordingly, our board of directors is empowered, without shareholder approval, to issue preferred shares with dividend, liquidation, conversion, redemption voting or other rights which could adversely affect the voting power or other rights of the holders of ordinary shares. The preferred shares could be utilized as a method of discouraging, delaying or preventing a change in control of Opera Limited. Although we do not currently intend to issue any preferred shares, we cannot assure you that we will not do so in the future.</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the date of this document, there are no outstanding shares of preferred stock of any series. The material terms of any series of preferred shares that we offer, together with any material U.S. federal income tax considerations relating to such preferred shares, will be described in a prospectus supplement.</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Holders of our preferred shares are entitled to certain rights and subject to certain conditions as set forth in our Second M&amp;A and the Companies Law. See “Description of Share Capital.”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 w:name="page37"/>
    <w:bookmarkEnd w:id="36"/>
    <w:p>
      <w:pPr>
        <w:jc w:val="center"/>
        <w:ind w:left="660"/>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7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1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at which we will sell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or dates on which we will repay the principal on the debt securities and the right, if any, to extend the maturity of the debt securities;</w:t>
      </w:r>
    </w:p>
    <w:p>
      <w:pPr>
        <w:spacing w:after="0" w:line="236" w:lineRule="exact"/>
        <w:rPr>
          <w:rFonts w:ascii="Arial" w:cs="Arial" w:eastAsia="Arial" w:hAnsi="Arial"/>
          <w:sz w:val="17"/>
          <w:szCs w:val="17"/>
          <w:color w:val="auto"/>
        </w:rPr>
      </w:pPr>
    </w:p>
    <w:p>
      <w:pPr>
        <w:ind w:left="660" w:right="40" w:hanging="328"/>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46" w:lineRule="exact"/>
        <w:rPr>
          <w:rFonts w:ascii="Arial" w:cs="Arial" w:eastAsia="Arial" w:hAnsi="Arial"/>
          <w:sz w:val="17"/>
          <w:szCs w:val="17"/>
          <w:color w:val="auto"/>
        </w:rPr>
      </w:pPr>
    </w:p>
    <w:p>
      <w:pPr>
        <w:ind w:left="660" w:right="2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the indenture with respect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and any applicable subordination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material income tax considerations applicable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modify any provisions of the indenture as it applies to that series;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8" w:name="page39"/>
    <w:bookmarkEnd w:id="38"/>
    <w:p>
      <w:pPr>
        <w:ind w:firstLine="648"/>
        <w:spacing w:after="0" w:line="255" w:lineRule="auto"/>
        <w:rPr>
          <w:sz w:val="20"/>
          <w:szCs w:val="20"/>
          <w:color w:val="auto"/>
        </w:rPr>
      </w:pPr>
      <w:r>
        <w:rPr>
          <w:rFonts w:ascii="Arial" w:cs="Arial" w:eastAsia="Arial" w:hAnsi="Arial"/>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issue and offer warrants under the material terms and conditions described in this prospectus and any accompanying prospectus supplement.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prospectus supplement may add, update or change the terms and conditions of the warrants as described in this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may issue warrants to purchase our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7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aggregate amount of equity warrants and the aggregate amount of equity securities purchasable upon exercise of the equity warrants;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designation and terms of the equity securities with which the equity warrants are issued, and the amount of equity warrants issued with each equity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equity warrants and the related equity security will be separately transferable;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equity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anti-dilution provisions of the equity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equity warrants; and</w:t>
      </w:r>
    </w:p>
    <w:p>
      <w:pPr>
        <w:spacing w:after="0" w:line="225" w:lineRule="exact"/>
        <w:rPr>
          <w:rFonts w:ascii="Arial" w:cs="Arial" w:eastAsia="Arial" w:hAnsi="Arial"/>
          <w:sz w:val="18"/>
          <w:szCs w:val="18"/>
          <w:color w:val="auto"/>
        </w:rPr>
      </w:pPr>
    </w:p>
    <w:p>
      <w:pPr>
        <w:ind w:left="5620" w:right="60" w:hanging="5288"/>
        <w:spacing w:after="0" w:line="52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terms of the equity warrants, including terms, procedures and limitations relating to the exchange and exercise of the equity warrants.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ind w:right="80" w:firstLine="648"/>
        <w:spacing w:after="0" w:line="264" w:lineRule="auto"/>
        <w:rPr>
          <w:sz w:val="20"/>
          <w:szCs w:val="20"/>
          <w:color w:val="auto"/>
        </w:rPr>
      </w:pPr>
      <w:r>
        <w:rPr>
          <w:rFonts w:ascii="Arial" w:cs="Arial" w:eastAsia="Arial" w:hAnsi="Arial"/>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aggregate principal amount and terms of the debt securities purchasable upon exercise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terms of any related debt securities with which the debt warrants are issued and the amount of the debt warrants issued with each debt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debt warrants;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will be issued in registered or bearer form, and, if registered, where they may be transferred and registered;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anti-dilution provisions of the debt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debt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additional terms of the debt warrants, including terms, procedures and limitations relating to the exchange and exercise of the debt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1" w:name="page42"/>
    <w:bookmarkEnd w:id="41"/>
    <w:p>
      <w:pPr>
        <w:ind w:firstLine="648"/>
        <w:spacing w:after="0" w:line="257"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or distribute the securities offered by this prospectus, from time to time, in one or more offerings, as follows: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dealers or underwriters for resale;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w:t>
      </w:r>
      <w:r>
        <w:rPr>
          <w:rFonts w:ascii="Arial" w:cs="Arial" w:eastAsia="Arial" w:hAnsi="Arial"/>
          <w:sz w:val="18"/>
          <w:szCs w:val="18"/>
          <w:color w:val="auto"/>
        </w:rPr>
        <w:t>,</w:t>
      </w:r>
      <w:r>
        <w:rPr>
          <w:rFonts w:ascii="Arial" w:cs="Arial" w:eastAsia="Arial" w:hAnsi="Arial"/>
          <w:sz w:val="18"/>
          <w:szCs w:val="18"/>
          <w:b w:val="1"/>
          <w:bCs w:val="1"/>
          <w:color w:val="auto"/>
        </w:rPr>
        <w:t xml:space="preserve"> Stabilization and Other Transactions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Any underwriter may also engage in stabilizing transactions, syndicate covering transactions and penalty bids in accordance with Rule 104 under the Securities Exchange Act of 1934, as amended, or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71"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of Securities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may loan or pledge securities to a financial institution or other third parties that in turn may sell the securities using this prospectus and an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5" w:name="page46"/>
    <w:bookmarkEnd w:id="45"/>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validity of the debt securities and warrants offered by this prospectus, to the extent governed by the laws of the State of New York, will be passed upon for us by Kirkland &amp; Ellis International LLP, our special United States counsel. The validity of the shares and preferred shares, to the extent governed by Cayman Islands law, will be passed upon for us by Maples and Calder (Hong Kong) LLP, our special legal counsel as to Cayman Islands law. Legal matters as to Norway law will be passed upon for us by Wikborg Rein Advokatfirma, our counsel as to Norway law.</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580" w:right="5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of Opera Limited and subsidiaries as of December 31, 2018 and 2017, and for each of the years in the two-year period ended December 31, 2018 (Successor) and for the period from July 26, 2016 to December 31, 2016 (Successor), and for the period from January 1, 2016 to November 3, 2016 (Predecessor) have been incorporated by reference herein and in the registration statement, in reliance upon the report of KPMG AS,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audit report covering the December 31, 2018 consolidated financial statements contains an emphasis of matter paragraph that states the Predecessor financial statements have been prepared on a carve-out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Second M&amp;A, to the fullest extent permissible under Cayman Islands law every director and officer of our company shall be indemnified against all actions, proceedings, costs, charges, expenses, losses, damages or liabilities incurred or sustained by him, other than by reason of such person’s own dishonesty, willful default or fraud,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we have entered into indemnification agreements with our directors and officers, a form of which has been filed as Exhibit 10.2 to our registration statement on Form F-1, pursuant to which we have agreed to indemnify our directors and officers against certain liabilities and expenses that they incur in connection with claims made by reason of their being a director or officer of our company.</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underwriting agreement entered into in connection with an offering of securities will also provide for indemnification of us and our officers and directors in certain cases.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to this registration statement are listed on the Index to Exhibits to this registration statement, which Index to Exhibits is hereby incorporated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2"/>
          <w:numId w:val="29"/>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or the Securities Act;</w:t>
      </w:r>
    </w:p>
    <w:p>
      <w:pPr>
        <w:spacing w:after="0" w:line="236" w:lineRule="exact"/>
        <w:rPr>
          <w:rFonts w:ascii="Arial" w:cs="Arial" w:eastAsia="Arial" w:hAnsi="Arial"/>
          <w:sz w:val="17"/>
          <w:szCs w:val="17"/>
          <w:color w:val="auto"/>
        </w:rPr>
      </w:pPr>
    </w:p>
    <w:p>
      <w:pPr>
        <w:ind w:left="660" w:right="60" w:firstLine="645"/>
        <w:spacing w:after="0" w:line="255" w:lineRule="auto"/>
        <w:tabs>
          <w:tab w:leader="none" w:pos="1888"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660" w:right="40" w:firstLine="645"/>
        <w:spacing w:after="0" w:line="277" w:lineRule="auto"/>
        <w:tabs>
          <w:tab w:leader="none" w:pos="189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8" w:name="page49"/>
    <w:bookmarkEnd w:id="48"/>
    <w:p>
      <w:pPr>
        <w:ind w:left="640" w:right="100"/>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registration statement is on Form F-3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ind w:left="-20" w:firstLine="656"/>
        <w:spacing w:after="0" w:line="264" w:lineRule="auto"/>
        <w:tabs>
          <w:tab w:leader="none" w:pos="12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0" w:right="400" w:firstLine="656"/>
        <w:spacing w:after="0" w:line="277" w:lineRule="auto"/>
        <w:tabs>
          <w:tab w:leader="none" w:pos="12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0" w:right="20" w:firstLine="656"/>
        <w:spacing w:after="0" w:line="271" w:lineRule="auto"/>
        <w:tabs>
          <w:tab w:leader="none" w:pos="128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Rule 3-19 of Regulation S-K if such financial statements and information are contained in periodic reports filed with or furnished to the SEC by the registrant pursuant to Section 13 or Section 15(d) of the Exchange Act that are incorporated by reference in this Form F-3.</w:t>
      </w:r>
    </w:p>
    <w:p>
      <w:pPr>
        <w:spacing w:after="0" w:line="178" w:lineRule="exact"/>
        <w:rPr>
          <w:rFonts w:ascii="Arial" w:cs="Arial" w:eastAsia="Arial" w:hAnsi="Arial"/>
          <w:sz w:val="17"/>
          <w:szCs w:val="17"/>
          <w:color w:val="auto"/>
        </w:rPr>
      </w:pPr>
    </w:p>
    <w:p>
      <w:pPr>
        <w:ind w:left="1300" w:hanging="66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640" w:right="140" w:firstLine="645"/>
        <w:spacing w:after="0" w:line="277"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40" w:right="20" w:firstLine="645"/>
        <w:spacing w:after="0" w:line="269" w:lineRule="auto"/>
        <w:tabs>
          <w:tab w:leader="none" w:pos="1868"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9" w:name="page50"/>
    <w:bookmarkEnd w:id="49"/>
    <w:p>
      <w:pPr>
        <w:ind w:left="1320" w:hanging="664"/>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1300" w:hanging="644"/>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300" w:right="42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8"/>
        <w:spacing w:after="0" w:line="254" w:lineRule="auto"/>
        <w:tabs>
          <w:tab w:leader="none" w:pos="6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rFonts w:ascii="Arial" w:cs="Arial" w:eastAsia="Arial" w:hAnsi="Arial"/>
          <w:sz w:val="18"/>
          <w:szCs w:val="18"/>
          <w:color w:val="auto"/>
        </w:rPr>
      </w:pPr>
    </w:p>
    <w:p>
      <w:pPr>
        <w:ind w:right="20" w:firstLine="8"/>
        <w:spacing w:after="0" w:line="259" w:lineRule="auto"/>
        <w:tabs>
          <w:tab w:leader="none" w:pos="6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right="500" w:firstLine="8"/>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Commission under section 305(b)(2) of the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gridSpan w:val="14"/>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Form of Underwriting Agreement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Second Amended and Restated Memorandum and Articles of Association of the Registrant, as currently in effect (incorporated by</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reference to Exhibit 3.2 from our registration statement on Amendment No. 1 to Form F-1 (File No. 333-226017) filed publicly with</w:t>
              </w:r>
            </w:hyperlink>
          </w:p>
        </w:tc>
        <w:tc>
          <w:tcPr>
            <w:tcW w:w="2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the SEC on July 13, 2018)</w:t>
              </w:r>
            </w:hyperlink>
          </w:p>
        </w:tc>
        <w:tc>
          <w:tcPr>
            <w:tcW w:w="790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Registrant’s Specimen Certificate for Ordinary Shares (incorporated by reference to Exhibit 4.2 from our registration statement on</w:t>
              </w:r>
            </w:hyperlink>
          </w:p>
        </w:tc>
        <w:tc>
          <w:tcPr>
            <w:tcW w:w="4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Form F-1 (File No. 333-226017) filed publicly with the SEC on June 29, 2018)</w:t>
              </w:r>
            </w:hyperlink>
          </w:p>
        </w:tc>
        <w:tc>
          <w:tcPr>
            <w:tcW w:w="410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w w:val="93"/>
              </w:rPr>
            </w:pPr>
            <w:hyperlink r:id="rId74">
              <w:r>
                <w:rPr>
                  <w:rFonts w:ascii="Arial" w:cs="Arial" w:eastAsia="Arial" w:hAnsi="Arial"/>
                  <w:sz w:val="18"/>
                  <w:szCs w:val="18"/>
                  <w:color w:val="0000EE"/>
                  <w:w w:val="93"/>
                </w:rPr>
                <w:t>Form of Deposit Agreement among the registrant, the depositary and owners and holders of the ADSs (incorporated by reference to</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8"/>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Exhibit 4.3 from our registration statement on Amendment No. 2 to Form F-1 (File No. 333-226017) filed publicly with the SEC on</w:t>
              </w:r>
            </w:hyperlink>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July 23, 2018)</w:t>
              </w:r>
            </w:hyperlink>
          </w:p>
        </w:tc>
        <w:tc>
          <w:tcPr>
            <w:tcW w:w="8460" w:type="dxa"/>
            <w:vAlign w:val="bottom"/>
            <w:tcBorders>
              <w:top w:val="single" w:sz="8" w:color="0000EE"/>
            </w:tcBorders>
            <w:gridSpan w:val="15"/>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r:id="rId74">
              <w:r>
                <w:rPr>
                  <w:rFonts w:ascii="Arial" w:cs="Arial" w:eastAsia="Arial" w:hAnsi="Arial"/>
                  <w:sz w:val="18"/>
                  <w:szCs w:val="18"/>
                  <w:color w:val="0000EE"/>
                </w:rPr>
                <w:t>Form American Depositary Receipt (included in Exhibit 4.2)</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Specimen Preferred Share Certificate and Form of Certificate of Designations of Preferred Shares</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Form of Indenture</w:t>
              </w:r>
            </w:hyperlink>
          </w:p>
        </w:tc>
        <w:tc>
          <w:tcPr>
            <w:tcW w:w="8480" w:type="dxa"/>
            <w:vAlign w:val="bottom"/>
            <w:gridSpan w:val="16"/>
          </w:tcPr>
          <w:p>
            <w:pPr>
              <w:spacing w:after="0"/>
              <w:rPr>
                <w:sz w:val="24"/>
                <w:szCs w:val="24"/>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Form of Debt Security</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Form of Warrant Agreement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63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Opinion of Maples and Calder (Hong Kong) LLP regarding the validity of the securities</w:t>
              </w:r>
            </w:hyperlink>
          </w:p>
        </w:tc>
        <w:tc>
          <w:tcPr>
            <w:tcW w:w="3460" w:type="dxa"/>
            <w:vAlign w:val="bottom"/>
            <w:gridSpan w:val="6"/>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Opinion of Kirkland &amp; Ellis regarding the validity of the securities</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Opinion of Maples and Calder (Hong Kong) LLP regarding certain tax matters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Opinion of Wikborg Rein Advokatfirma AS regarding certain tax matters</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52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Consent of KPMG AS, Independent Registered Public Accounting Firm</w:t>
              </w:r>
            </w:hyperlink>
          </w:p>
        </w:tc>
        <w:tc>
          <w:tcPr>
            <w:tcW w:w="4600" w:type="dxa"/>
            <w:vAlign w:val="bottom"/>
            <w:gridSpan w:val="9"/>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53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Consent of Maples and Calder (Hong Kong) LLP (included in Exhibit 5.1)</w:t>
              </w:r>
            </w:hyperlink>
          </w:p>
        </w:tc>
        <w:tc>
          <w:tcPr>
            <w:tcW w:w="4420" w:type="dxa"/>
            <w:vAlign w:val="bottom"/>
            <w:gridSpan w:val="8"/>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38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Consent of Kirkland &amp; Ellis (included in Exhibit 5.2)</w:t>
              </w:r>
            </w:hyperlink>
          </w:p>
        </w:tc>
        <w:tc>
          <w:tcPr>
            <w:tcW w:w="5960" w:type="dxa"/>
            <w:vAlign w:val="bottom"/>
            <w:gridSpan w:val="13"/>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Consent of Wikborg Rein Advokatfirma AS</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40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Powers of Attorney (included as part of signature page)</w:t>
              </w:r>
            </w:hyperlink>
          </w:p>
        </w:tc>
        <w:tc>
          <w:tcPr>
            <w:tcW w:w="5800" w:type="dxa"/>
            <w:vAlign w:val="bottom"/>
            <w:gridSpan w:val="12"/>
          </w:tcPr>
          <w:p>
            <w:pPr>
              <w:spacing w:after="0"/>
              <w:rPr>
                <w:sz w:val="24"/>
                <w:szCs w:val="24"/>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w w:val="96"/>
              </w:rPr>
              <w:t>Form T-1 Statement of Eligibility and Qualification under the Trust Indenture Act of 1939, as amended, of the Trustee under the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60" w:right="3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under the Exchange Act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Norway, on September 10,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Opera Limited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36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Yahui Zhou</w:t>
            </w:r>
          </w:p>
        </w:tc>
        <w:tc>
          <w:tcPr>
            <w:tcW w:w="1360" w:type="dxa"/>
            <w:vAlign w:val="bottom"/>
          </w:tcPr>
          <w:p>
            <w:pPr>
              <w:spacing w:after="0"/>
              <w:rPr>
                <w:sz w:val="16"/>
                <w:szCs w:val="16"/>
                <w:color w:val="auto"/>
              </w:rPr>
            </w:pPr>
          </w:p>
        </w:tc>
      </w:tr>
      <w:tr>
        <w:trPr>
          <w:trHeight w:val="216"/>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Chairman of the Board and Chief Executive</w:t>
            </w:r>
          </w:p>
        </w:tc>
        <w:tc>
          <w:tcPr>
            <w:tcW w:w="136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w:t>
            </w:r>
          </w:p>
        </w:tc>
        <w:tc>
          <w:tcPr>
            <w:tcW w:w="1360" w:type="dxa"/>
            <w:vAlign w:val="bottom"/>
          </w:tcPr>
          <w:p>
            <w:pPr>
              <w:spacing w:after="0"/>
              <w:rPr>
                <w:sz w:val="20"/>
                <w:szCs w:val="20"/>
                <w:color w:val="auto"/>
              </w:rPr>
            </w:pPr>
          </w:p>
        </w:tc>
      </w:tr>
      <w:tr>
        <w:trPr>
          <w:trHeight w:val="432"/>
        </w:trPr>
        <w:tc>
          <w:tcPr>
            <w:tcW w:w="6300" w:type="dxa"/>
            <w:vAlign w:val="bottom"/>
          </w:tcPr>
          <w:p>
            <w:pPr>
              <w:ind w:left="5580"/>
              <w:spacing w:after="0"/>
              <w:rPr>
                <w:sz w:val="20"/>
                <w:szCs w:val="20"/>
                <w:color w:val="auto"/>
              </w:rPr>
            </w:pPr>
            <w:r>
              <w:rPr>
                <w:rFonts w:ascii="Arial" w:cs="Arial" w:eastAsia="Arial" w:hAnsi="Arial"/>
                <w:sz w:val="18"/>
                <w:szCs w:val="18"/>
                <w:color w:val="auto"/>
              </w:rPr>
              <w:t>II-5</w:t>
            </w:r>
          </w:p>
        </w:tc>
        <w:tc>
          <w:tcPr>
            <w:tcW w:w="3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630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Yahui Zhou and Frode Jacobsen as an attorney-in-fact with full power of substitution, for him in any and all capacities, to do any and all acts and all things and to execute any and all instruments which said attorney and agent may deem necessary or desirable to enable the registrant to comply with the Securities Act of 1933, as amended, or the Securities Act, and any rules, regulations and requirements of the Securities and Exchange Commission thereunder, in connection with the registration under the Securities Act of ordinary shares of the registrant, or the Shares, including, without limitation, the power and authority to sign the name of each of the undersigned in the capacities indicated below to the Registration Statement on Form F-3, or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September 10,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7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w:t>
            </w:r>
          </w:p>
        </w:tc>
        <w:tc>
          <w:tcPr>
            <w:tcW w:w="580" w:type="dxa"/>
            <w:vAlign w:val="bottom"/>
          </w:tcPr>
          <w:p>
            <w:pPr>
              <w:spacing w:after="0"/>
              <w:rPr>
                <w:sz w:val="20"/>
                <w:szCs w:val="20"/>
                <w:color w:val="auto"/>
              </w:rPr>
            </w:pPr>
          </w:p>
        </w:tc>
      </w:tr>
      <w:tr>
        <w:trPr>
          <w:trHeight w:val="210"/>
        </w:trPr>
        <w:tc>
          <w:tcPr>
            <w:tcW w:w="3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20" w:type="dxa"/>
            <w:vAlign w:val="bottom"/>
          </w:tcPr>
          <w:p>
            <w:pPr>
              <w:spacing w:after="0"/>
              <w:rPr>
                <w:sz w:val="18"/>
                <w:szCs w:val="18"/>
                <w:color w:val="auto"/>
              </w:rPr>
            </w:pPr>
          </w:p>
        </w:tc>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18"/>
                <w:szCs w:val="18"/>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Yahui Zhou</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Frode Jacobsen</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4"/>
                <w:szCs w:val="24"/>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Frode Jacobsen</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58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 Fang</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Han Fang</w:t>
            </w: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Liu</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80" w:type="dxa"/>
            <w:vAlign w:val="bottom"/>
          </w:tcPr>
          <w:p>
            <w:pPr>
              <w:spacing w:after="0"/>
              <w:rPr>
                <w:sz w:val="24"/>
                <w:szCs w:val="24"/>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James Liu</w:t>
            </w: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Wheeler Næss</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80" w:type="dxa"/>
            <w:vAlign w:val="bottom"/>
          </w:tcPr>
          <w:p>
            <w:pPr>
              <w:spacing w:after="0"/>
              <w:rPr>
                <w:sz w:val="24"/>
                <w:szCs w:val="24"/>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Lori Wheeler Næss</w:t>
            </w: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Trond Riiber Knudsen</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80" w:type="dxa"/>
            <w:vAlign w:val="bottom"/>
          </w:tcPr>
          <w:p>
            <w:pPr>
              <w:spacing w:after="0"/>
              <w:rPr>
                <w:sz w:val="24"/>
                <w:szCs w:val="24"/>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Name: Trond Riiber Knudsens</w:t>
            </w: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II-6</w:t>
            </w:r>
          </w:p>
        </w:tc>
        <w:tc>
          <w:tcPr>
            <w:tcW w:w="580" w:type="dxa"/>
            <w:vAlign w:val="bottom"/>
          </w:tcPr>
          <w:p>
            <w:pPr>
              <w:spacing w:after="0"/>
              <w:rPr>
                <w:sz w:val="24"/>
                <w:szCs w:val="24"/>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9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53" w:name="page54"/>
    <w:bookmarkEnd w:id="53"/>
    <w:p>
      <w:pPr>
        <w:jc w:val="center"/>
        <w:ind w:right="-239"/>
        <w:spacing w:after="0"/>
        <w:rPr>
          <w:sz w:val="20"/>
          <w:szCs w:val="20"/>
          <w:color w:val="auto"/>
        </w:rPr>
      </w:pPr>
      <w:r>
        <w:rPr>
          <w:rFonts w:ascii="Arial" w:cs="Arial" w:eastAsia="Arial" w:hAnsi="Arial"/>
          <w:sz w:val="18"/>
          <w:szCs w:val="18"/>
          <w:b w:val="1"/>
          <w:bCs w:val="1"/>
          <w:color w:val="auto"/>
        </w:rPr>
        <w:t>SIGNATURE OF AUTHORIZED UNITED STATES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Opera Limited, has signed this registration statement or amendment thereto in New York on September 10,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Authorized U.S. Representative</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Pradnyesha Ghosalkar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Pradnyesha Ghosalkar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Assistant Secretary on behalf of COGENCY</w:t>
            </w:r>
          </w:p>
        </w:tc>
      </w:tr>
    </w:tbl>
    <w:p>
      <w:pPr>
        <w:ind w:left="5720"/>
        <w:spacing w:after="0"/>
        <w:rPr>
          <w:sz w:val="20"/>
          <w:szCs w:val="20"/>
          <w:color w:val="auto"/>
        </w:rPr>
      </w:pPr>
      <w:r>
        <w:rPr>
          <w:rFonts w:ascii="Arial" w:cs="Arial" w:eastAsia="Arial" w:hAnsi="Arial"/>
          <w:sz w:val="18"/>
          <w:szCs w:val="18"/>
          <w:color w:val="auto"/>
        </w:rPr>
        <w:t>GLOBAL INC.</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80"/>
          </w:cols>
          <w:pgMar w:left="240" w:top="580" w:right="4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Opera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186690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INDENTURE</w:t>
      </w:r>
    </w:p>
    <w:p>
      <w:pPr>
        <w:spacing w:after="0" w:line="23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186690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160"/>
            <w:col w:w="5040"/>
          </w:cols>
          <w:pgMar w:left="1440" w:top="121" w:right="239" w:bottom="1440" w:gutter="0" w:footer="0" w:header="0"/>
          <w:type w:val="continuous"/>
        </w:sectPr>
      </w:pPr>
    </w:p>
    <w:p>
      <w:pPr>
        <w:spacing w:after="0" w:line="363" w:lineRule="exact"/>
        <w:rPr>
          <w:sz w:val="20"/>
          <w:szCs w:val="20"/>
          <w:color w:val="auto"/>
        </w:rPr>
      </w:pPr>
    </w:p>
    <w:p>
      <w:pPr>
        <w:ind w:left="4740" w:hanging="511"/>
        <w:spacing w:after="0"/>
        <w:tabs>
          <w:tab w:leader="none" w:pos="4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512445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00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r>
      <w:tr>
        <w:trPr>
          <w:trHeight w:val="210"/>
        </w:trPr>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 AND INCORPORATION BY REFERENCE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1.1</w:t>
            </w:r>
          </w:p>
        </w:tc>
        <w:tc>
          <w:tcPr>
            <w:tcW w:w="900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1.2</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Definitions.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1.3</w:t>
            </w:r>
          </w:p>
        </w:tc>
        <w:tc>
          <w:tcPr>
            <w:tcW w:w="9000" w:type="dxa"/>
            <w:vAlign w:val="bottom"/>
          </w:tcPr>
          <w:p>
            <w:pPr>
              <w:ind w:left="120"/>
              <w:spacing w:after="0"/>
              <w:rPr>
                <w:sz w:val="20"/>
                <w:szCs w:val="20"/>
                <w:color w:val="auto"/>
              </w:rPr>
            </w:pPr>
            <w:r>
              <w:rPr>
                <w:rFonts w:ascii="Arial" w:cs="Arial" w:eastAsia="Arial" w:hAnsi="Arial"/>
                <w:sz w:val="18"/>
                <w:szCs w:val="18"/>
                <w:color w:val="auto"/>
              </w:rPr>
              <w:t>Incorporation by Reference of Trust Indenture Act.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1.4</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Rules of Construction.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b w:val="1"/>
                <w:bCs w:val="1"/>
                <w:color w:val="auto"/>
              </w:rPr>
              <w:t>ARTICLE II THE SECURITIES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2.1</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Issuable in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2.2</w:t>
            </w:r>
          </w:p>
        </w:tc>
        <w:tc>
          <w:tcPr>
            <w:tcW w:w="9000" w:type="dxa"/>
            <w:vAlign w:val="bottom"/>
          </w:tcPr>
          <w:p>
            <w:pPr>
              <w:ind w:left="120"/>
              <w:spacing w:after="0"/>
              <w:rPr>
                <w:sz w:val="20"/>
                <w:szCs w:val="20"/>
                <w:color w:val="auto"/>
              </w:rPr>
            </w:pPr>
            <w:r>
              <w:rPr>
                <w:rFonts w:ascii="Arial" w:cs="Arial" w:eastAsia="Arial" w:hAnsi="Arial"/>
                <w:sz w:val="18"/>
                <w:szCs w:val="18"/>
                <w:color w:val="auto"/>
              </w:rPr>
              <w:t>Establishment of Terms of Series of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2.3</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Execution and Authentication.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2.4</w:t>
            </w:r>
          </w:p>
        </w:tc>
        <w:tc>
          <w:tcPr>
            <w:tcW w:w="9000" w:type="dxa"/>
            <w:vAlign w:val="bottom"/>
          </w:tcPr>
          <w:p>
            <w:pPr>
              <w:ind w:left="120"/>
              <w:spacing w:after="0"/>
              <w:rPr>
                <w:sz w:val="20"/>
                <w:szCs w:val="20"/>
                <w:color w:val="auto"/>
              </w:rPr>
            </w:pPr>
            <w:r>
              <w:rPr>
                <w:rFonts w:ascii="Arial" w:cs="Arial" w:eastAsia="Arial" w:hAnsi="Arial"/>
                <w:sz w:val="18"/>
                <w:szCs w:val="18"/>
                <w:color w:val="auto"/>
              </w:rPr>
              <w:t>Registrar and Paying Agent.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2.5</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Paying Agent to Hold Money in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2.6</w:t>
            </w:r>
          </w:p>
        </w:tc>
        <w:tc>
          <w:tcPr>
            <w:tcW w:w="9000" w:type="dxa"/>
            <w:vAlign w:val="bottom"/>
          </w:tcPr>
          <w:p>
            <w:pPr>
              <w:ind w:left="120"/>
              <w:spacing w:after="0"/>
              <w:rPr>
                <w:sz w:val="20"/>
                <w:szCs w:val="20"/>
                <w:color w:val="auto"/>
              </w:rPr>
            </w:pPr>
            <w:r>
              <w:rPr>
                <w:rFonts w:ascii="Arial" w:cs="Arial" w:eastAsia="Arial" w:hAnsi="Arial"/>
                <w:sz w:val="18"/>
                <w:szCs w:val="18"/>
                <w:color w:val="auto"/>
              </w:rPr>
              <w:t>Security Holder Lists.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2.7</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 and Exchange.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2.8</w:t>
            </w:r>
          </w:p>
        </w:tc>
        <w:tc>
          <w:tcPr>
            <w:tcW w:w="9000" w:type="dxa"/>
            <w:vAlign w:val="bottom"/>
          </w:tcPr>
          <w:p>
            <w:pPr>
              <w:ind w:left="120"/>
              <w:spacing w:after="0"/>
              <w:rPr>
                <w:sz w:val="20"/>
                <w:szCs w:val="20"/>
                <w:color w:val="auto"/>
              </w:rPr>
            </w:pPr>
            <w:r>
              <w:rPr>
                <w:rFonts w:ascii="Arial" w:cs="Arial" w:eastAsia="Arial" w:hAnsi="Arial"/>
                <w:sz w:val="18"/>
                <w:szCs w:val="18"/>
                <w:color w:val="auto"/>
              </w:rPr>
              <w:t>Mutilated, Destroyed, Lost and Stolen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2.9</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2.10</w:t>
            </w:r>
          </w:p>
        </w:tc>
        <w:tc>
          <w:tcPr>
            <w:tcW w:w="900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2.11</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Temporary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2.12</w:t>
            </w:r>
          </w:p>
        </w:tc>
        <w:tc>
          <w:tcPr>
            <w:tcW w:w="900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2.13</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Defaulted Interest.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2.14</w:t>
            </w:r>
          </w:p>
        </w:tc>
        <w:tc>
          <w:tcPr>
            <w:tcW w:w="9000" w:type="dxa"/>
            <w:vAlign w:val="bottom"/>
          </w:tcPr>
          <w:p>
            <w:pPr>
              <w:ind w:left="120"/>
              <w:spacing w:after="0"/>
              <w:rPr>
                <w:sz w:val="20"/>
                <w:szCs w:val="20"/>
                <w:color w:val="auto"/>
              </w:rPr>
            </w:pPr>
            <w:r>
              <w:rPr>
                <w:rFonts w:ascii="Arial" w:cs="Arial" w:eastAsia="Arial" w:hAnsi="Arial"/>
                <w:sz w:val="18"/>
                <w:szCs w:val="18"/>
                <w:color w:val="auto"/>
              </w:rPr>
              <w:t>Global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2.15</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CUSIP Numbers.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b w:val="1"/>
                <w:bCs w:val="1"/>
                <w:color w:val="auto"/>
              </w:rPr>
              <w:t>ARTICLE III REDEMPTION</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3.1</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to Trustee.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3.2</w:t>
            </w:r>
          </w:p>
        </w:tc>
        <w:tc>
          <w:tcPr>
            <w:tcW w:w="9000" w:type="dxa"/>
            <w:vAlign w:val="bottom"/>
          </w:tcPr>
          <w:p>
            <w:pPr>
              <w:ind w:left="120"/>
              <w:spacing w:after="0"/>
              <w:rPr>
                <w:sz w:val="20"/>
                <w:szCs w:val="20"/>
                <w:color w:val="auto"/>
              </w:rPr>
            </w:pPr>
            <w:r>
              <w:rPr>
                <w:rFonts w:ascii="Arial" w:cs="Arial" w:eastAsia="Arial" w:hAnsi="Arial"/>
                <w:sz w:val="18"/>
                <w:szCs w:val="18"/>
                <w:color w:val="auto"/>
              </w:rPr>
              <w:t>Selection of Securities to be Redeemed.</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3.3</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Redemption.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3.4</w:t>
            </w:r>
          </w:p>
        </w:tc>
        <w:tc>
          <w:tcPr>
            <w:tcW w:w="9000" w:type="dxa"/>
            <w:vAlign w:val="bottom"/>
          </w:tcPr>
          <w:p>
            <w:pPr>
              <w:ind w:left="120"/>
              <w:spacing w:after="0"/>
              <w:rPr>
                <w:sz w:val="20"/>
                <w:szCs w:val="20"/>
                <w:color w:val="auto"/>
              </w:rPr>
            </w:pPr>
            <w:r>
              <w:rPr>
                <w:rFonts w:ascii="Arial" w:cs="Arial" w:eastAsia="Arial" w:hAnsi="Arial"/>
                <w:sz w:val="18"/>
                <w:szCs w:val="18"/>
                <w:color w:val="auto"/>
              </w:rPr>
              <w:t>Effect of Notice of Redemption.</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3.5</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 of Redemption Price.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3.6</w:t>
            </w:r>
          </w:p>
        </w:tc>
        <w:tc>
          <w:tcPr>
            <w:tcW w:w="9000" w:type="dxa"/>
            <w:vAlign w:val="bottom"/>
          </w:tcPr>
          <w:p>
            <w:pPr>
              <w:ind w:left="120"/>
              <w:spacing w:after="0"/>
              <w:rPr>
                <w:sz w:val="20"/>
                <w:szCs w:val="20"/>
                <w:color w:val="auto"/>
              </w:rPr>
            </w:pPr>
            <w:r>
              <w:rPr>
                <w:rFonts w:ascii="Arial" w:cs="Arial" w:eastAsia="Arial" w:hAnsi="Arial"/>
                <w:sz w:val="18"/>
                <w:szCs w:val="18"/>
                <w:color w:val="auto"/>
              </w:rPr>
              <w:t>Securities Redeemed in Part.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COVENANTS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4.1</w:t>
            </w:r>
          </w:p>
        </w:tc>
        <w:tc>
          <w:tcPr>
            <w:tcW w:w="9000" w:type="dxa"/>
            <w:vAlign w:val="bottom"/>
          </w:tcPr>
          <w:p>
            <w:pPr>
              <w:ind w:left="120"/>
              <w:spacing w:after="0"/>
              <w:rPr>
                <w:sz w:val="20"/>
                <w:szCs w:val="20"/>
                <w:color w:val="auto"/>
              </w:rPr>
            </w:pPr>
            <w:r>
              <w:rPr>
                <w:rFonts w:ascii="Arial" w:cs="Arial" w:eastAsia="Arial" w:hAnsi="Arial"/>
                <w:sz w:val="18"/>
                <w:szCs w:val="18"/>
                <w:color w:val="auto"/>
              </w:rPr>
              <w:t>Payment of Principal and Interest.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4.2</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 Reports.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4.3</w:t>
            </w:r>
          </w:p>
        </w:tc>
        <w:tc>
          <w:tcPr>
            <w:tcW w:w="900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4.4</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Stay, Extension and Usury Laws.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4.5</w:t>
            </w:r>
          </w:p>
        </w:tc>
        <w:tc>
          <w:tcPr>
            <w:tcW w:w="900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SUCCESSORS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5.1</w:t>
            </w:r>
          </w:p>
        </w:tc>
        <w:tc>
          <w:tcPr>
            <w:tcW w:w="9000" w:type="dxa"/>
            <w:vAlign w:val="bottom"/>
          </w:tcPr>
          <w:p>
            <w:pPr>
              <w:ind w:left="120"/>
              <w:spacing w:after="0"/>
              <w:rPr>
                <w:sz w:val="20"/>
                <w:szCs w:val="20"/>
                <w:color w:val="auto"/>
              </w:rPr>
            </w:pPr>
            <w:r>
              <w:rPr>
                <w:rFonts w:ascii="Arial" w:cs="Arial" w:eastAsia="Arial" w:hAnsi="Arial"/>
                <w:sz w:val="18"/>
                <w:szCs w:val="18"/>
                <w:color w:val="auto"/>
              </w:rPr>
              <w:t>When Company May Merge, Etc.</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5.2</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 Corporation Substituted.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b w:val="1"/>
                <w:bCs w:val="1"/>
                <w:color w:val="auto"/>
              </w:rPr>
              <w:t>ARTICLE VI DEFAULTS AND REMEDIES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6.1</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Events of Default.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6.2</w:t>
            </w:r>
          </w:p>
        </w:tc>
        <w:tc>
          <w:tcPr>
            <w:tcW w:w="9000" w:type="dxa"/>
            <w:vAlign w:val="bottom"/>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6.3</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Collection of Indebtedness and Suits for Enforcement by Trustee.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6.4</w:t>
            </w:r>
          </w:p>
        </w:tc>
        <w:tc>
          <w:tcPr>
            <w:tcW w:w="900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6.5</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6.6</w:t>
            </w:r>
          </w:p>
        </w:tc>
        <w:tc>
          <w:tcPr>
            <w:tcW w:w="900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6.7</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Limitation on Suits.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6.8</w:t>
            </w:r>
          </w:p>
        </w:tc>
        <w:tc>
          <w:tcPr>
            <w:tcW w:w="9000" w:type="dxa"/>
            <w:vAlign w:val="bottom"/>
          </w:tcPr>
          <w:p>
            <w:pPr>
              <w:ind w:left="1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6.9</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Restoration of Rights and Remedies.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6.10</w:t>
            </w:r>
          </w:p>
        </w:tc>
        <w:tc>
          <w:tcPr>
            <w:tcW w:w="900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6.11</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Delay or Omission Not Waiver.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6.12</w:t>
            </w:r>
          </w:p>
        </w:tc>
        <w:tc>
          <w:tcPr>
            <w:tcW w:w="9000" w:type="dxa"/>
            <w:vAlign w:val="bottom"/>
          </w:tcPr>
          <w:p>
            <w:pPr>
              <w:ind w:left="120"/>
              <w:spacing w:after="0"/>
              <w:rPr>
                <w:sz w:val="20"/>
                <w:szCs w:val="20"/>
                <w:color w:val="auto"/>
              </w:rPr>
            </w:pPr>
            <w:r>
              <w:rPr>
                <w:rFonts w:ascii="Arial" w:cs="Arial" w:eastAsia="Arial" w:hAnsi="Arial"/>
                <w:sz w:val="18"/>
                <w:szCs w:val="18"/>
                <w:color w:val="auto"/>
              </w:rPr>
              <w:t>Control by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6.13</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 of Past Defaults.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rPr>
              <w:t>Section 6.14</w:t>
            </w:r>
          </w:p>
        </w:tc>
        <w:tc>
          <w:tcPr>
            <w:tcW w:w="900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TRUSTEE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7.1</w:t>
            </w:r>
          </w:p>
        </w:tc>
        <w:tc>
          <w:tcPr>
            <w:tcW w:w="7220" w:type="dxa"/>
            <w:vAlign w:val="bottom"/>
          </w:tcPr>
          <w:p>
            <w:pPr>
              <w:ind w:left="80"/>
              <w:spacing w:after="0"/>
              <w:rPr>
                <w:sz w:val="20"/>
                <w:szCs w:val="20"/>
                <w:color w:val="auto"/>
              </w:rPr>
            </w:pPr>
            <w:r>
              <w:rPr>
                <w:rFonts w:ascii="Arial" w:cs="Arial" w:eastAsia="Arial" w:hAnsi="Arial"/>
                <w:sz w:val="18"/>
                <w:szCs w:val="18"/>
                <w:color w:val="auto"/>
              </w:rPr>
              <w:t>Duties of Trustee.</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7.2</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Rights of Trustee.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7.3</w:t>
            </w:r>
          </w:p>
        </w:tc>
        <w:tc>
          <w:tcPr>
            <w:tcW w:w="722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7.4</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Individual Rights of Trustee.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7.5</w:t>
            </w:r>
          </w:p>
        </w:tc>
        <w:tc>
          <w:tcPr>
            <w:tcW w:w="7220" w:type="dxa"/>
            <w:vAlign w:val="bottom"/>
          </w:tcPr>
          <w:p>
            <w:pPr>
              <w:ind w:left="80"/>
              <w:spacing w:after="0"/>
              <w:rPr>
                <w:sz w:val="20"/>
                <w:szCs w:val="20"/>
                <w:color w:val="auto"/>
              </w:rPr>
            </w:pPr>
            <w:r>
              <w:rPr>
                <w:rFonts w:ascii="Arial" w:cs="Arial" w:eastAsia="Arial" w:hAnsi="Arial"/>
                <w:sz w:val="18"/>
                <w:szCs w:val="18"/>
                <w:color w:val="auto"/>
              </w:rPr>
              <w:t>Trustee’s Disclaimer.</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7.6</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 of Defaults.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7.7</w:t>
            </w:r>
          </w:p>
        </w:tc>
        <w:tc>
          <w:tcPr>
            <w:tcW w:w="7220" w:type="dxa"/>
            <w:vAlign w:val="bottom"/>
          </w:tcPr>
          <w:p>
            <w:pPr>
              <w:ind w:left="80"/>
              <w:spacing w:after="0"/>
              <w:rPr>
                <w:sz w:val="20"/>
                <w:szCs w:val="20"/>
                <w:color w:val="auto"/>
              </w:rPr>
            </w:pPr>
            <w:r>
              <w:rPr>
                <w:rFonts w:ascii="Arial" w:cs="Arial" w:eastAsia="Arial" w:hAnsi="Arial"/>
                <w:sz w:val="18"/>
                <w:szCs w:val="18"/>
                <w:color w:val="auto"/>
              </w:rPr>
              <w:t>Reports by Trustee to 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7.8</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and Indemnity.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7.9</w:t>
            </w:r>
          </w:p>
        </w:tc>
        <w:tc>
          <w:tcPr>
            <w:tcW w:w="7220" w:type="dxa"/>
            <w:vAlign w:val="bottom"/>
          </w:tcPr>
          <w:p>
            <w:pPr>
              <w:ind w:left="80"/>
              <w:spacing w:after="0"/>
              <w:rPr>
                <w:sz w:val="20"/>
                <w:szCs w:val="20"/>
                <w:color w:val="auto"/>
              </w:rPr>
            </w:pPr>
            <w:r>
              <w:rPr>
                <w:rFonts w:ascii="Arial" w:cs="Arial" w:eastAsia="Arial" w:hAnsi="Arial"/>
                <w:sz w:val="18"/>
                <w:szCs w:val="18"/>
                <w:color w:val="auto"/>
              </w:rPr>
              <w:t>Replacement of Trustee.</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7.10</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Successor Trustee by Merger, etc.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7.11</w:t>
            </w:r>
          </w:p>
        </w:tc>
        <w:tc>
          <w:tcPr>
            <w:tcW w:w="7220" w:type="dxa"/>
            <w:vAlign w:val="bottom"/>
          </w:tcPr>
          <w:p>
            <w:pPr>
              <w:ind w:left="80"/>
              <w:spacing w:after="0"/>
              <w:rPr>
                <w:sz w:val="20"/>
                <w:szCs w:val="20"/>
                <w:color w:val="auto"/>
              </w:rPr>
            </w:pPr>
            <w:r>
              <w:rPr>
                <w:rFonts w:ascii="Arial" w:cs="Arial" w:eastAsia="Arial" w:hAnsi="Arial"/>
                <w:sz w:val="18"/>
                <w:szCs w:val="18"/>
                <w:color w:val="auto"/>
              </w:rPr>
              <w:t>Eligibility; Disqualification.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7.12</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Preferential Collection of Claims Against Company.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VIII SATISFACTION AND DISCHARGE; DEFEASANCE</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8.1</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8.2</w:t>
            </w:r>
          </w:p>
        </w:tc>
        <w:tc>
          <w:tcPr>
            <w:tcW w:w="7220" w:type="dxa"/>
            <w:vAlign w:val="bottom"/>
          </w:tcPr>
          <w:p>
            <w:pPr>
              <w:ind w:left="80"/>
              <w:spacing w:after="0"/>
              <w:rPr>
                <w:sz w:val="20"/>
                <w:szCs w:val="20"/>
                <w:color w:val="auto"/>
              </w:rPr>
            </w:pPr>
            <w:r>
              <w:rPr>
                <w:rFonts w:ascii="Arial" w:cs="Arial" w:eastAsia="Arial" w:hAnsi="Arial"/>
                <w:sz w:val="18"/>
                <w:szCs w:val="18"/>
                <w:color w:val="auto"/>
              </w:rPr>
              <w:t>Application of Trust Funds; 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8.3</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Defeasance of Securities of any Series.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8.4</w:t>
            </w:r>
          </w:p>
        </w:tc>
        <w:tc>
          <w:tcPr>
            <w:tcW w:w="722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8.5</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to Company.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IX SUPPLEMENTAL INDENTURES, AMENDMENTS AND WAIVERS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9.1</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Without Consent of Holders.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9.2</w:t>
            </w:r>
          </w:p>
        </w:tc>
        <w:tc>
          <w:tcPr>
            <w:tcW w:w="7220" w:type="dxa"/>
            <w:vAlign w:val="bottom"/>
          </w:tcPr>
          <w:p>
            <w:pPr>
              <w:ind w:left="80"/>
              <w:spacing w:after="0"/>
              <w:rPr>
                <w:sz w:val="20"/>
                <w:szCs w:val="20"/>
                <w:color w:val="auto"/>
              </w:rPr>
            </w:pPr>
            <w:r>
              <w:rPr>
                <w:rFonts w:ascii="Arial" w:cs="Arial" w:eastAsia="Arial" w:hAnsi="Arial"/>
                <w:sz w:val="18"/>
                <w:szCs w:val="18"/>
                <w:color w:val="auto"/>
              </w:rPr>
              <w:t>With Consent of 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9.3</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Limitations.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9.4</w:t>
            </w:r>
          </w:p>
        </w:tc>
        <w:tc>
          <w:tcPr>
            <w:tcW w:w="7220" w:type="dxa"/>
            <w:vAlign w:val="bottom"/>
          </w:tcPr>
          <w:p>
            <w:pPr>
              <w:ind w:left="80"/>
              <w:spacing w:after="0"/>
              <w:rPr>
                <w:sz w:val="20"/>
                <w:szCs w:val="20"/>
                <w:color w:val="auto"/>
              </w:rPr>
            </w:pPr>
            <w:r>
              <w:rPr>
                <w:rFonts w:ascii="Arial" w:cs="Arial" w:eastAsia="Arial" w:hAnsi="Arial"/>
                <w:sz w:val="18"/>
                <w:szCs w:val="18"/>
                <w:color w:val="auto"/>
              </w:rPr>
              <w:t>Compliance with Trust Indenture Act.</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9.5</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Revocation and Effect of Consents.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9.6</w:t>
            </w:r>
          </w:p>
        </w:tc>
        <w:tc>
          <w:tcPr>
            <w:tcW w:w="7220" w:type="dxa"/>
            <w:vAlign w:val="bottom"/>
          </w:tcPr>
          <w:p>
            <w:pPr>
              <w:ind w:left="80"/>
              <w:spacing w:after="0"/>
              <w:rPr>
                <w:sz w:val="20"/>
                <w:szCs w:val="20"/>
                <w:color w:val="auto"/>
              </w:rPr>
            </w:pPr>
            <w:r>
              <w:rPr>
                <w:rFonts w:ascii="Arial" w:cs="Arial" w:eastAsia="Arial" w:hAnsi="Arial"/>
                <w:sz w:val="18"/>
                <w:szCs w:val="18"/>
                <w:color w:val="auto"/>
              </w:rPr>
              <w:t>Notation on or Exchange of Securities.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9.7</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Trustee Protected.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X MISCELLANEOUS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10.1</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 Indenture Act Controls.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10.2</w:t>
            </w:r>
          </w:p>
        </w:tc>
        <w:tc>
          <w:tcPr>
            <w:tcW w:w="7220" w:type="dxa"/>
            <w:vAlign w:val="bottom"/>
          </w:tcPr>
          <w:p>
            <w:pPr>
              <w:ind w:left="8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10.3</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10.4</w:t>
            </w:r>
          </w:p>
        </w:tc>
        <w:tc>
          <w:tcPr>
            <w:tcW w:w="722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10.5</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10.6</w:t>
            </w:r>
          </w:p>
        </w:tc>
        <w:tc>
          <w:tcPr>
            <w:tcW w:w="7220" w:type="dxa"/>
            <w:vAlign w:val="bottom"/>
          </w:tcPr>
          <w:p>
            <w:pPr>
              <w:ind w:left="80"/>
              <w:spacing w:after="0"/>
              <w:rPr>
                <w:sz w:val="20"/>
                <w:szCs w:val="20"/>
                <w:color w:val="auto"/>
              </w:rPr>
            </w:pPr>
            <w:r>
              <w:rPr>
                <w:rFonts w:ascii="Arial" w:cs="Arial" w:eastAsia="Arial" w:hAnsi="Arial"/>
                <w:sz w:val="18"/>
                <w:szCs w:val="18"/>
                <w:color w:val="auto"/>
              </w:rPr>
              <w:t>Rules by Trustee and Agents.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10.7</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Holidays.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10.8</w:t>
            </w:r>
          </w:p>
        </w:tc>
        <w:tc>
          <w:tcPr>
            <w:tcW w:w="7220" w:type="dxa"/>
            <w:vAlign w:val="bottom"/>
          </w:tcPr>
          <w:p>
            <w:pPr>
              <w:ind w:left="80"/>
              <w:spacing w:after="0"/>
              <w:rPr>
                <w:sz w:val="20"/>
                <w:szCs w:val="20"/>
                <w:color w:val="auto"/>
              </w:rPr>
            </w:pPr>
            <w:r>
              <w:rPr>
                <w:rFonts w:ascii="Arial" w:cs="Arial" w:eastAsia="Arial" w:hAnsi="Arial"/>
                <w:sz w:val="18"/>
                <w:szCs w:val="18"/>
                <w:color w:val="auto"/>
              </w:rPr>
              <w:t>No Recourse Against Others.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10.9</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6"/>
              </w:rPr>
              <w:t>Section 10.10</w:t>
            </w:r>
          </w:p>
        </w:tc>
        <w:tc>
          <w:tcPr>
            <w:tcW w:w="7220" w:type="dxa"/>
            <w:vAlign w:val="bottom"/>
          </w:tcPr>
          <w:p>
            <w:pPr>
              <w:ind w:left="80"/>
              <w:spacing w:after="0"/>
              <w:rPr>
                <w:sz w:val="20"/>
                <w:szCs w:val="20"/>
                <w:color w:val="auto"/>
              </w:rPr>
            </w:pPr>
            <w:r>
              <w:rPr>
                <w:rFonts w:ascii="Arial" w:cs="Arial" w:eastAsia="Arial" w:hAnsi="Arial"/>
                <w:sz w:val="18"/>
                <w:szCs w:val="18"/>
                <w:color w:val="auto"/>
              </w:rPr>
              <w:t>Governing Laws.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6"/>
              </w:rPr>
              <w:t>Section 10.11</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6"/>
              </w:rPr>
              <w:t>Section 10.12</w:t>
            </w:r>
          </w:p>
        </w:tc>
        <w:tc>
          <w:tcPr>
            <w:tcW w:w="722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6"/>
              </w:rPr>
              <w:t>Section 10.13</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6"/>
              </w:rPr>
              <w:t>Section 10.14</w:t>
            </w:r>
          </w:p>
        </w:tc>
        <w:tc>
          <w:tcPr>
            <w:tcW w:w="722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6"/>
              </w:rPr>
              <w:t>Section 10.15</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in a Foreign Currency or in ECU.</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6"/>
              </w:rPr>
              <w:t>Section 10.16</w:t>
            </w:r>
          </w:p>
        </w:tc>
        <w:tc>
          <w:tcPr>
            <w:tcW w:w="722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 SINKING FUNDS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11.1</w:t>
            </w:r>
          </w:p>
        </w:tc>
        <w:tc>
          <w:tcPr>
            <w:tcW w:w="722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Section 11.2</w:t>
            </w: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rPr>
              <w:t>Section 11.3</w:t>
            </w:r>
          </w:p>
        </w:tc>
        <w:tc>
          <w:tcPr>
            <w:tcW w:w="7220" w:type="dxa"/>
            <w:vAlign w:val="bottom"/>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Opera Limtied</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w w:val="93"/>
              </w:rPr>
              <w:t>Reconciliation and tie between Trust Indenture Act of 1939 and Indenture, dated as of [</w:t>
            </w:r>
          </w:p>
        </w:tc>
        <w:tc>
          <w:tcPr>
            <w:tcW w:w="490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(a)(2)</w:t>
            </w:r>
          </w:p>
        </w:tc>
        <w:tc>
          <w:tcPr>
            <w:tcW w:w="4900" w:type="dxa"/>
            <w:vAlign w:val="bottom"/>
          </w:tcPr>
          <w:p>
            <w:pPr>
              <w:ind w:left="24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(a)(4)</w:t>
            </w:r>
          </w:p>
        </w:tc>
        <w:tc>
          <w:tcPr>
            <w:tcW w:w="4900" w:type="dxa"/>
            <w:vAlign w:val="bottom"/>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312(a)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 313(a)</w:t>
            </w:r>
          </w:p>
        </w:tc>
        <w:tc>
          <w:tcPr>
            <w:tcW w:w="4900" w:type="dxa"/>
            <w:vAlign w:val="bottom"/>
          </w:tcPr>
          <w:p>
            <w:pPr>
              <w:ind w:left="24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(b)(1)</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(b)(2)</w:t>
            </w:r>
          </w:p>
        </w:tc>
        <w:tc>
          <w:tcPr>
            <w:tcW w:w="4900" w:type="dxa"/>
            <w:vAlign w:val="bottom"/>
          </w:tcPr>
          <w:p>
            <w:pPr>
              <w:ind w:left="24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w:t>
            </w:r>
          </w:p>
        </w:tc>
        <w:tc>
          <w:tcPr>
            <w:tcW w:w="4900" w:type="dxa"/>
            <w:vAlign w:val="bottom"/>
          </w:tcPr>
          <w:p>
            <w:pPr>
              <w:ind w:left="24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314(a)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4.2, 10.5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(c)(2)</w:t>
            </w:r>
          </w:p>
        </w:tc>
        <w:tc>
          <w:tcPr>
            <w:tcW w:w="4900" w:type="dxa"/>
            <w:vAlign w:val="bottom"/>
          </w:tcPr>
          <w:p>
            <w:pPr>
              <w:ind w:left="24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(c)(3)</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w:t>
            </w:r>
          </w:p>
        </w:tc>
        <w:tc>
          <w:tcPr>
            <w:tcW w:w="4900" w:type="dxa"/>
            <w:vAlign w:val="bottom"/>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w:t>
            </w:r>
          </w:p>
        </w:tc>
        <w:tc>
          <w:tcPr>
            <w:tcW w:w="4900" w:type="dxa"/>
            <w:vAlign w:val="bottom"/>
          </w:tcPr>
          <w:p>
            <w:pPr>
              <w:ind w:left="2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315(a)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w:t>
            </w:r>
          </w:p>
        </w:tc>
        <w:tc>
          <w:tcPr>
            <w:tcW w:w="4900" w:type="dxa"/>
            <w:vAlign w:val="bottom"/>
          </w:tcPr>
          <w:p>
            <w:pPr>
              <w:ind w:left="24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 316(a)</w:t>
            </w:r>
          </w:p>
        </w:tc>
        <w:tc>
          <w:tcPr>
            <w:tcW w:w="4900" w:type="dxa"/>
            <w:vAlign w:val="bottom"/>
          </w:tcPr>
          <w:p>
            <w:pPr>
              <w:ind w:left="24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(a)(1)(B)</w:t>
            </w:r>
          </w:p>
        </w:tc>
        <w:tc>
          <w:tcPr>
            <w:tcW w:w="4900" w:type="dxa"/>
            <w:vAlign w:val="bottom"/>
          </w:tcPr>
          <w:p>
            <w:pPr>
              <w:ind w:left="24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 317(a)(1)</w:t>
            </w:r>
          </w:p>
        </w:tc>
        <w:tc>
          <w:tcPr>
            <w:tcW w:w="4900" w:type="dxa"/>
            <w:vAlign w:val="bottom"/>
          </w:tcPr>
          <w:p>
            <w:pPr>
              <w:ind w:left="24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Pr>
          <w:p>
            <w:pPr>
              <w:ind w:left="24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4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8" w:name="page59"/>
    <w:bookmarkEnd w:id="58"/>
    <w:p>
      <w:pPr>
        <w:ind w:right="60" w:firstLine="648"/>
        <w:spacing w:after="0" w:line="277" w:lineRule="auto"/>
        <w:rPr>
          <w:sz w:val="20"/>
          <w:szCs w:val="20"/>
          <w:color w:val="auto"/>
        </w:rPr>
      </w:pPr>
      <w:r>
        <w:rPr>
          <w:rFonts w:ascii="Arial" w:cs="Arial" w:eastAsia="Arial" w:hAnsi="Arial"/>
          <w:sz w:val="18"/>
          <w:szCs w:val="18"/>
          <w:color w:val="auto"/>
        </w:rPr>
        <w:t>Indenture dated as of [ ] between Opera Limited, an exempted company incorporated with limited liability under the laws of the Cayman Islands (“Company”), and [ ] (“Trustee”).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Chairman, its Chief Executive Officer, or any Vice President and by its Chief Financial Officer and delivered to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w:t>
      </w:r>
      <w:r>
        <w:rPr>
          <w:rFonts w:ascii="Arial" w:cs="Arial" w:eastAsia="Arial" w:hAnsi="Arial"/>
          <w:sz w:val="18"/>
          <w:szCs w:val="18"/>
          <w:color w:val="auto"/>
        </w:rPr>
        <w:t>” means the European Currency Unit as determined by the Commission of the European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 America.</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w:t>
      </w:r>
      <w:r>
        <w:rPr>
          <w:rFonts w:ascii="Arial" w:cs="Arial" w:eastAsia="Arial" w:hAnsi="Arial"/>
          <w:sz w:val="18"/>
          <w:szCs w:val="18"/>
          <w:i w:val="1"/>
          <w:iCs w:val="1"/>
          <w:color w:val="auto"/>
        </w:rPr>
        <w:t xml:space="preserve"> </w:t>
      </w:r>
      <w:r>
        <w:rPr>
          <w:rFonts w:ascii="Arial" w:cs="Arial" w:eastAsia="Arial" w:hAnsi="Arial"/>
          <w:sz w:val="18"/>
          <w:szCs w:val="18"/>
          <w:color w:val="auto"/>
        </w:rPr>
        <w:t>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 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IFRS</w:t>
      </w:r>
      <w:r>
        <w:rPr>
          <w:rFonts w:ascii="Arial" w:cs="Arial" w:eastAsia="Arial" w:hAnsi="Arial"/>
          <w:sz w:val="18"/>
          <w:szCs w:val="18"/>
          <w:color w:val="auto"/>
        </w:rPr>
        <w:t>” means International Financial Reporting Standards, as issued by the International Accounting Standards Board, , which are in effect as of the date of determination.</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the Chief Executive Officer, the Chief Operating Officer, or the Chief Financial Officer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0" w:name="page61"/>
    <w:bookmarkEnd w:id="60"/>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w:t>
      </w:r>
    </w:p>
    <w:p>
      <w:pPr>
        <w:ind w:right="180" w:firstLine="8"/>
        <w:spacing w:after="0" w:line="253"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160" w:type="dxa"/>
            <w:vAlign w:val="bottom"/>
            <w:gridSpan w:val="4"/>
          </w:tcPr>
          <w:p>
            <w:pPr>
              <w:spacing w:after="0"/>
              <w:rPr>
                <w:sz w:val="20"/>
                <w:szCs w:val="20"/>
                <w:color w:val="auto"/>
              </w:rPr>
            </w:pPr>
            <w:r>
              <w:rPr>
                <w:rFonts w:ascii="Arial" w:cs="Arial" w:eastAsia="Arial" w:hAnsi="Arial"/>
                <w:sz w:val="18"/>
                <w:szCs w:val="18"/>
                <w:color w:val="auto"/>
              </w:rPr>
              <w:t>Section 1.2   Other Definitions.</w:t>
            </w: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132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ind w:left="1440"/>
              <w:spacing w:after="0"/>
              <w:rPr>
                <w:sz w:val="20"/>
                <w:szCs w:val="20"/>
                <w:color w:val="auto"/>
              </w:rPr>
            </w:pPr>
            <w:r>
              <w:rPr>
                <w:rFonts w:ascii="Arial" w:cs="Arial" w:eastAsia="Arial" w:hAnsi="Arial"/>
                <w:sz w:val="18"/>
                <w:szCs w:val="18"/>
                <w:b w:val="1"/>
                <w:bCs w:val="1"/>
                <w:color w:val="auto"/>
              </w:rPr>
              <w:t>DEFINED IN SECTION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Journal</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Exchange Rate</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260" w:type="dxa"/>
            <w:vAlign w:val="bottom"/>
            <w:gridSpan w:val="2"/>
          </w:tcPr>
          <w:p>
            <w:pPr>
              <w:ind w:left="4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5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Incorporation by Reference of Trust Indenture Act.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5660" w:right="3260" w:hanging="5004"/>
        <w:spacing w:after="0" w:line="528" w:lineRule="auto"/>
        <w:tabs>
          <w:tab w:leader="none" w:pos="1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2" w:name="page63"/>
    <w:bookmarkEnd w:id="62"/>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[US$200 million].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or Officers’ Certificate, and associated supplemental indenture:</w:t>
      </w:r>
    </w:p>
    <w:p>
      <w:pPr>
        <w:spacing w:after="0" w:line="14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title of the Series (which shall distinguish the Securities of that particular Series from the Securities of any other Series);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3" w:name="page64"/>
    <w:bookmarkEnd w:id="63"/>
    <w:p>
      <w:pPr>
        <w:ind w:right="180" w:firstLine="648"/>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if other than denominations of $1,000 and any integral multiple thereof, the denominations in which the Securities of the Series shall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issuable;</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2.2.13 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2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or change in the covenants set forth in Articles IV or V which applies to Securities of the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ind w:left="660"/>
        <w:spacing w:after="0"/>
        <w:tabs>
          <w:tab w:leader="none" w:pos="1320" w:val="left"/>
        </w:tabs>
        <w:rPr>
          <w:sz w:val="20"/>
          <w:szCs w:val="20"/>
          <w:color w:val="auto"/>
        </w:rPr>
      </w:pPr>
      <w:r>
        <w:rPr>
          <w:rFonts w:ascii="Arial" w:cs="Arial" w:eastAsia="Arial" w:hAnsi="Arial"/>
          <w:sz w:val="18"/>
          <w:szCs w:val="18"/>
          <w:color w:val="auto"/>
        </w:rPr>
        <w:t>2.2.20</w:t>
      </w:r>
      <w:r>
        <w:rPr>
          <w:sz w:val="20"/>
          <w:szCs w:val="20"/>
          <w:color w:val="auto"/>
        </w:rPr>
        <w:tab/>
      </w:r>
      <w:r>
        <w:rPr>
          <w:rFonts w:ascii="Arial" w:cs="Arial" w:eastAsia="Arial" w:hAnsi="Arial"/>
          <w:sz w:val="16"/>
          <w:szCs w:val="16"/>
          <w:color w:val="auto"/>
        </w:rPr>
        <w:t>any material income tax considerations applicable;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2.2.21 if the Securities of the Series are to be convertible into or exchangeable for any securities of any Person (including the Company), the terms and conditions upon which such Securities will be so convertible or exchangeable;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6"/>
          <w:szCs w:val="16"/>
          <w:color w:val="auto"/>
        </w:rPr>
        <w:t>whether the Securities of the Series are subject to subordination and the terms of such subordination;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2.2.23 any other terms of the Securities of the Series (which may supplement, modify or delete any provision of this Indenture insofar as it applies to such Series);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2.2.24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right="20" w:firstLine="8"/>
        <w:spacing w:after="0" w:line="255"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5" w:name="page66"/>
    <w:bookmarkEnd w:id="65"/>
    <w:p>
      <w:pPr>
        <w:ind w:right="30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where Securities of such Series eries that are convertible or exchangeable may be surrendered for conversion or exchange, as applicable, where Securities of such Series may be surrendered for conversion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9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6" w:name="page67"/>
    <w:bookmarkEnd w:id="66"/>
    <w:p>
      <w:pPr>
        <w:spacing w:after="0"/>
        <w:tabs>
          <w:tab w:leader="none" w:pos="10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 Holder Lists.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Transfer and Exchange.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p>
    <w:p>
      <w:pPr>
        <w:spacing w:after="0" w:line="225" w:lineRule="exact"/>
        <w:rPr>
          <w:sz w:val="20"/>
          <w:szCs w:val="20"/>
          <w:color w:val="auto"/>
        </w:rPr>
      </w:pPr>
    </w:p>
    <w:p>
      <w:pPr>
        <w:ind w:right="760" w:firstLine="648"/>
        <w:spacing w:after="0" w:line="264" w:lineRule="auto"/>
        <w:rPr>
          <w:sz w:val="20"/>
          <w:szCs w:val="20"/>
          <w:color w:val="auto"/>
        </w:rPr>
      </w:pPr>
      <w:r>
        <w:rPr>
          <w:rFonts w:ascii="Arial" w:cs="Arial" w:eastAsia="Arial" w:hAnsi="Arial"/>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w:t>
      </w:r>
    </w:p>
    <w:p>
      <w:pPr>
        <w:spacing w:after="0" w:line="35" w:lineRule="exact"/>
        <w:rPr>
          <w:sz w:val="20"/>
          <w:szCs w:val="20"/>
          <w:color w:val="auto"/>
        </w:rPr>
      </w:pPr>
    </w:p>
    <w:p>
      <w:pPr>
        <w:ind w:right="60" w:firstLine="8"/>
        <w:spacing w:after="0" w:line="281"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 and of like tenor and principal amount and bearing a number not contemporaneously outstanding.</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Treasury Securities.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spacing w:after="0"/>
        <w:tabs>
          <w:tab w:leader="none" w:pos="11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2.14.1 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2.14.2 Transfer and Exchange.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color w:val="auto"/>
        </w:rPr>
        <w:t>Legend. Any Global Security issued hereunder shall bear a legend in substantially the following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ind w:right="20" w:firstLine="648"/>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2.14.4 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2.14.5 Payments.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2.14.6 Consents, Declaration and Directions.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spacing w:after="0"/>
        <w:tabs>
          <w:tab w:leader="none" w:pos="10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Company’s request, the Trustee shall give the notice of redemption prepared by the Company, in the Company’s name and at its expense.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p>
    <w:p>
      <w:pPr>
        <w:spacing w:after="0" w:line="22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Corporate Existence.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170" w:lineRule="exact"/>
        <w:rPr>
          <w:sz w:val="20"/>
          <w:szCs w:val="20"/>
          <w:color w:val="auto"/>
        </w:rPr>
      </w:pPr>
    </w:p>
    <w:p>
      <w:pPr>
        <w:ind w:right="160" w:firstLine="656"/>
        <w:spacing w:after="0" w:line="342" w:lineRule="auto"/>
        <w:tabs>
          <w:tab w:leader="none" w:pos="10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23" w:lineRule="exact"/>
        <w:rPr>
          <w:rFonts w:ascii="Arial" w:cs="Arial" w:eastAsia="Arial" w:hAnsi="Arial"/>
          <w:sz w:val="16"/>
          <w:szCs w:val="16"/>
          <w:color w:val="auto"/>
        </w:rPr>
      </w:pPr>
    </w:p>
    <w:p>
      <w:pPr>
        <w:ind w:left="1100" w:hanging="4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above, any Subsidiary of the Company may consolidate with, merge into or transfer all or part of its properties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Neither an Officers’ Certificate nor an Opinion of Counsel shall be required to be delivered in connection therewith.</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jc w:val="both"/>
        <w:ind w:right="180" w:firstLine="656"/>
        <w:spacing w:after="0" w:line="264" w:lineRule="auto"/>
        <w:tabs>
          <w:tab w:leader="none" w:pos="10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right="60" w:firstLine="656"/>
        <w:spacing w:after="0" w:line="257" w:lineRule="auto"/>
        <w:tabs>
          <w:tab w:leader="none" w:pos="10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3" w:name="page74"/>
    <w:bookmarkEnd w:id="73"/>
    <w:p>
      <w:pPr>
        <w:ind w:left="1100" w:hanging="444"/>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sz w:val="20"/>
          <w:szCs w:val="20"/>
          <w:color w:val="auto"/>
        </w:rPr>
      </w:pPr>
    </w:p>
    <w:p>
      <w:pPr>
        <w:ind w:left="660"/>
        <w:spacing w:after="0"/>
        <w:tabs>
          <w:tab w:leader="none" w:pos="1060" w:val="left"/>
          <w:tab w:leader="none" w:pos="2800" w:val="left"/>
        </w:tabs>
        <w:rPr>
          <w:sz w:val="20"/>
          <w:szCs w:val="20"/>
          <w:color w:val="auto"/>
        </w:rPr>
      </w:pPr>
      <w:r>
        <w:rPr>
          <w:rFonts w:ascii="Arial" w:cs="Arial" w:eastAsia="Arial" w:hAnsi="Arial"/>
          <w:sz w:val="18"/>
          <w:szCs w:val="18"/>
          <w:color w:val="auto"/>
        </w:rPr>
        <w:t>(e)</w:t>
        <w:tab/>
        <w:t>(e)</w:t>
      </w:r>
      <w:r>
        <w:rPr>
          <w:sz w:val="20"/>
          <w:szCs w:val="20"/>
          <w:color w:val="auto"/>
        </w:rPr>
        <w:tab/>
      </w:r>
      <w:r>
        <w:rPr>
          <w:rFonts w:ascii="Arial" w:cs="Arial" w:eastAsia="Arial" w:hAnsi="Arial"/>
          <w:sz w:val="16"/>
          <w:szCs w:val="16"/>
          <w:color w:val="auto"/>
        </w:rPr>
        <w:t>a court of competent jurisdiction enters an order or decree under any Bankruptcy Law that:</w:t>
      </w:r>
    </w:p>
    <w:p>
      <w:pPr>
        <w:spacing w:after="0" w:line="225" w:lineRule="exact"/>
        <w:rPr>
          <w:sz w:val="20"/>
          <w:szCs w:val="20"/>
          <w:color w:val="auto"/>
        </w:rPr>
      </w:pPr>
    </w:p>
    <w:p>
      <w:pPr>
        <w:ind w:left="1700" w:hanging="395"/>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right="700" w:firstLine="656"/>
        <w:spacing w:after="0" w:line="277" w:lineRule="auto"/>
        <w:tabs>
          <w:tab w:leader="none" w:pos="10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220" w:firstLine="656"/>
        <w:spacing w:after="0" w:line="277" w:lineRule="auto"/>
        <w:tabs>
          <w:tab w:leader="none" w:pos="10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5" w:name="page76"/>
    <w:bookmarkEnd w:id="75"/>
    <w:p>
      <w:pPr>
        <w:ind w:right="340" w:firstLine="656"/>
        <w:spacing w:after="0" w:line="312" w:lineRule="auto"/>
        <w:tabs>
          <w:tab w:leader="none" w:pos="10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6" w:lineRule="exact"/>
        <w:rPr>
          <w:rFonts w:ascii="Arial" w:cs="Arial" w:eastAsia="Arial" w:hAnsi="Arial"/>
          <w:sz w:val="16"/>
          <w:szCs w:val="16"/>
          <w:color w:val="auto"/>
        </w:rPr>
      </w:pPr>
    </w:p>
    <w:p>
      <w:pPr>
        <w:ind w:left="1100" w:hanging="444"/>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7.8; and</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 or to such party as a court of competent jurisdiction shall direct.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u w:val="single" w:color="auto"/>
          <w:color w:val="auto"/>
        </w:rPr>
        <w:t>Limitation on Suits.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5620" w:right="280" w:hanging="4964"/>
        <w:spacing w:after="0" w:line="528" w:lineRule="auto"/>
        <w:tabs>
          <w:tab w:leader="none" w:pos="10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6" w:name="page77"/>
    <w:bookmarkEnd w:id="76"/>
    <w:p>
      <w:pPr>
        <w:ind w:right="80" w:firstLine="656"/>
        <w:spacing w:after="0" w:line="277" w:lineRule="auto"/>
        <w:tabs>
          <w:tab w:leader="none" w:pos="1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620" w:firstLine="656"/>
        <w:spacing w:after="0" w:line="277" w:lineRule="auto"/>
        <w:tabs>
          <w:tab w:leader="none" w:pos="10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360" w:firstLine="656"/>
        <w:spacing w:after="0" w:line="277" w:lineRule="auto"/>
        <w:tabs>
          <w:tab w:leader="none" w:pos="10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spacing w:after="0"/>
        <w:tabs>
          <w:tab w:leader="none" w:pos="11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firstLine="656"/>
        <w:spacing w:after="0" w:line="308" w:lineRule="auto"/>
        <w:tabs>
          <w:tab w:leader="none" w:pos="10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p>
    <w:p>
      <w:pPr>
        <w:spacing w:after="0" w:line="225" w:lineRule="exact"/>
        <w:rPr>
          <w:sz w:val="20"/>
          <w:szCs w:val="20"/>
          <w:color w:val="auto"/>
        </w:rPr>
      </w:pPr>
    </w:p>
    <w:p>
      <w:pPr>
        <w:ind w:right="40" w:firstLine="656"/>
        <w:spacing w:after="0" w:line="342" w:lineRule="auto"/>
        <w:tabs>
          <w:tab w:leader="none" w:pos="1073"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8" w:name="page79"/>
    <w:bookmarkEnd w:id="78"/>
    <w:p>
      <w:pPr>
        <w:ind w:left="1100" w:hanging="444"/>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ind w:right="60" w:firstLine="1305"/>
        <w:spacing w:after="0" w:line="276" w:lineRule="auto"/>
        <w:tabs>
          <w:tab w:leader="none" w:pos="1741"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72" w:lineRule="exact"/>
        <w:rPr>
          <w:rFonts w:ascii="Arial" w:cs="Arial" w:eastAsia="Arial" w:hAnsi="Arial"/>
          <w:sz w:val="17"/>
          <w:szCs w:val="17"/>
          <w:color w:val="auto"/>
        </w:rPr>
      </w:pPr>
    </w:p>
    <w:p>
      <w:pPr>
        <w:ind w:left="1080" w:hanging="424"/>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210" w:lineRule="exact"/>
        <w:rPr>
          <w:rFonts w:ascii="Arial" w:cs="Arial" w:eastAsia="Arial" w:hAnsi="Arial"/>
          <w:sz w:val="17"/>
          <w:szCs w:val="17"/>
          <w:color w:val="auto"/>
        </w:rPr>
      </w:pPr>
    </w:p>
    <w:p>
      <w:pPr>
        <w:ind w:left="1700" w:hanging="395"/>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right="400" w:firstLine="1305"/>
        <w:spacing w:after="0" w:line="277" w:lineRule="auto"/>
        <w:tabs>
          <w:tab w:leader="none" w:pos="17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right="60" w:firstLine="1305"/>
        <w:spacing w:after="0" w:line="259" w:lineRule="auto"/>
        <w:tabs>
          <w:tab w:leader="none" w:pos="17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236" w:lineRule="exact"/>
        <w:rPr>
          <w:rFonts w:ascii="Arial" w:cs="Arial" w:eastAsia="Arial" w:hAnsi="Arial"/>
          <w:sz w:val="17"/>
          <w:szCs w:val="17"/>
          <w:color w:val="auto"/>
        </w:rPr>
      </w:pPr>
    </w:p>
    <w:p>
      <w:pPr>
        <w:ind w:firstLine="656"/>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security or indemnity satisfactory to it against any loss, liability or expense.</w:t>
      </w:r>
    </w:p>
    <w:p>
      <w:pPr>
        <w:spacing w:after="0" w:line="170" w:lineRule="exact"/>
        <w:rPr>
          <w:rFonts w:ascii="Arial" w:cs="Arial" w:eastAsia="Arial" w:hAnsi="Arial"/>
          <w:sz w:val="18"/>
          <w:szCs w:val="18"/>
          <w:color w:val="auto"/>
        </w:rPr>
      </w:pPr>
    </w:p>
    <w:p>
      <w:pPr>
        <w:ind w:right="160" w:firstLine="656"/>
        <w:spacing w:after="0" w:line="277" w:lineRule="auto"/>
        <w:tabs>
          <w:tab w:leader="none" w:pos="10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right="20" w:firstLine="656"/>
        <w:spacing w:after="0" w:line="264" w:lineRule="auto"/>
        <w:tabs>
          <w:tab w:leader="none" w:pos="10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1" w:lineRule="exact"/>
        <w:rPr>
          <w:rFonts w:ascii="Arial" w:cs="Arial" w:eastAsia="Arial" w:hAnsi="Arial"/>
          <w:sz w:val="18"/>
          <w:szCs w:val="18"/>
          <w:color w:val="auto"/>
        </w:rPr>
      </w:pPr>
    </w:p>
    <w:p>
      <w:pPr>
        <w:ind w:right="100" w:firstLine="656"/>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p>
    <w:p>
      <w:pPr>
        <w:spacing w:after="0" w:line="225" w:lineRule="exact"/>
        <w:rPr>
          <w:sz w:val="20"/>
          <w:szCs w:val="20"/>
          <w:color w:val="auto"/>
        </w:rPr>
      </w:pPr>
    </w:p>
    <w:p>
      <w:pPr>
        <w:ind w:right="60" w:firstLine="656"/>
        <w:spacing w:after="0" w:line="308" w:lineRule="auto"/>
        <w:tabs>
          <w:tab w:leader="none" w:pos="10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9" w:name="page80"/>
    <w:bookmarkEnd w:id="79"/>
    <w:p>
      <w:pPr>
        <w:jc w:val="both"/>
        <w:ind w:right="100" w:firstLine="656"/>
        <w:spacing w:after="0" w:line="259" w:lineRule="auto"/>
        <w:tabs>
          <w:tab w:leader="none" w:pos="10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86" w:lineRule="exact"/>
        <w:rPr>
          <w:rFonts w:ascii="Arial" w:cs="Arial" w:eastAsia="Arial" w:hAnsi="Arial"/>
          <w:sz w:val="18"/>
          <w:szCs w:val="18"/>
          <w:color w:val="auto"/>
        </w:rPr>
      </w:pPr>
    </w:p>
    <w:p>
      <w:pPr>
        <w:ind w:right="300" w:firstLine="656"/>
        <w:spacing w:after="0" w:line="308" w:lineRule="auto"/>
        <w:tabs>
          <w:tab w:leader="none" w:pos="107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46" w:lineRule="exact"/>
        <w:rPr>
          <w:rFonts w:ascii="Arial" w:cs="Arial" w:eastAsia="Arial" w:hAnsi="Arial"/>
          <w:sz w:val="17"/>
          <w:szCs w:val="17"/>
          <w:color w:val="auto"/>
        </w:rPr>
      </w:pPr>
    </w:p>
    <w:p>
      <w:pPr>
        <w:ind w:right="380" w:firstLine="656"/>
        <w:spacing w:after="0" w:line="26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81" w:lineRule="exact"/>
        <w:rPr>
          <w:rFonts w:ascii="Arial" w:cs="Arial" w:eastAsia="Arial" w:hAnsi="Arial"/>
          <w:sz w:val="18"/>
          <w:szCs w:val="18"/>
          <w:color w:val="auto"/>
        </w:rPr>
      </w:pPr>
    </w:p>
    <w:p>
      <w:pPr>
        <w:ind w:right="180" w:firstLine="656"/>
        <w:spacing w:after="0" w:line="264" w:lineRule="auto"/>
        <w:tabs>
          <w:tab w:leader="none" w:pos="10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81" w:lineRule="exact"/>
        <w:rPr>
          <w:rFonts w:ascii="Arial" w:cs="Arial" w:eastAsia="Arial" w:hAnsi="Arial"/>
          <w:sz w:val="18"/>
          <w:szCs w:val="18"/>
          <w:color w:val="auto"/>
        </w:rPr>
      </w:pPr>
    </w:p>
    <w:p>
      <w:pPr>
        <w:jc w:val="both"/>
        <w:ind w:right="140" w:firstLine="656"/>
        <w:spacing w:after="0" w:line="264" w:lineRule="auto"/>
        <w:tabs>
          <w:tab w:leader="none" w:pos="10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ind w:firstLine="656"/>
        <w:spacing w:after="0" w:line="26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1" w:lineRule="exact"/>
        <w:rPr>
          <w:rFonts w:ascii="Arial" w:cs="Arial" w:eastAsia="Arial" w:hAnsi="Arial"/>
          <w:sz w:val="18"/>
          <w:szCs w:val="18"/>
          <w:color w:val="auto"/>
        </w:rPr>
      </w:pPr>
    </w:p>
    <w:p>
      <w:pPr>
        <w:ind w:right="420" w:firstLine="656"/>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 (i) 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81" w:lineRule="exact"/>
        <w:rPr>
          <w:sz w:val="20"/>
          <w:szCs w:val="20"/>
          <w:color w:val="auto"/>
        </w:rPr>
      </w:pPr>
    </w:p>
    <w:p>
      <w:pPr>
        <w:ind w:right="80" w:firstLine="656"/>
        <w:spacing w:after="0" w:line="286"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5" w:lineRule="exact"/>
        <w:rPr>
          <w:rFonts w:ascii="Arial" w:cs="Arial" w:eastAsia="Arial" w:hAnsi="Arial"/>
          <w:sz w:val="17"/>
          <w:szCs w:val="17"/>
          <w:color w:val="auto"/>
        </w:rPr>
      </w:pPr>
    </w:p>
    <w:p>
      <w:pPr>
        <w:ind w:left="1080" w:hanging="424"/>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have no duty to inquire as to or monitor the performance of the Issuer with respect to the covenants contained in Article IV.</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not be required to give any note, bond or surety in respect of the execution of the trusts and powers under this Indenture.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ind w:right="2200" w:firstLine="656"/>
        <w:spacing w:after="0" w:line="501" w:lineRule="auto"/>
        <w:tabs>
          <w:tab w:leader="none" w:pos="11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Nothing herein shall be deemed to require the Trustee to submit to the jurisdiction or venue of a non-U.S. court. Section 7.3 </w:t>
      </w:r>
      <w:r>
        <w:rPr>
          <w:rFonts w:ascii="Arial" w:cs="Arial" w:eastAsia="Arial" w:hAnsi="Arial"/>
          <w:sz w:val="18"/>
          <w:szCs w:val="18"/>
          <w:u w:val="single" w:color="auto"/>
          <w:color w:val="auto"/>
        </w:rPr>
        <w:t>Force Majeure.</w:t>
      </w:r>
    </w:p>
    <w:p>
      <w:pPr>
        <w:jc w:val="both"/>
        <w:ind w:right="20" w:firstLine="656"/>
        <w:spacing w:after="0" w:line="259" w:lineRule="auto"/>
        <w:tabs>
          <w:tab w:leader="none" w:pos="10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Trustee shall have no liability for delays or inability to perform its duties hereunder due to </w:t>
      </w:r>
      <w:r>
        <w:rPr>
          <w:rFonts w:ascii="Arial" w:cs="Arial" w:eastAsia="Arial" w:hAnsi="Arial"/>
          <w:sz w:val="18"/>
          <w:szCs w:val="18"/>
          <w:u w:val="single" w:color="auto"/>
          <w:color w:val="auto"/>
        </w:rPr>
        <w:t>forces majeures</w:t>
      </w:r>
      <w:r>
        <w:rPr>
          <w:rFonts w:ascii="Arial" w:cs="Arial" w:eastAsia="Arial" w:hAnsi="Arial"/>
          <w:sz w:val="18"/>
          <w:szCs w:val="18"/>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86" w:lineRule="exact"/>
        <w:rPr>
          <w:rFonts w:ascii="Arial" w:cs="Arial" w:eastAsia="Arial" w:hAnsi="Arial"/>
          <w:sz w:val="18"/>
          <w:szCs w:val="18"/>
          <w:color w:val="auto"/>
        </w:rPr>
      </w:pPr>
    </w:p>
    <w:p>
      <w:pPr>
        <w:ind w:right="260" w:firstLine="656"/>
        <w:spacing w:after="0" w:line="277" w:lineRule="auto"/>
        <w:tabs>
          <w:tab w:leader="none" w:pos="10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Trustee’s Disclaimer.</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Notice of Defaults.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6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Reports by Trustee to Holders.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4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Compensation and Indemnity.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1" w:name="page82"/>
    <w:bookmarkEnd w:id="81"/>
    <w:p>
      <w:pPr>
        <w:ind w:firstLine="648"/>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79"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81"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and removal of the Trustee.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Replacement of Trustee.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fails to comply with Section 7.11;</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 Bankruptcy Law;</w:t>
      </w:r>
    </w:p>
    <w:p>
      <w:pPr>
        <w:spacing w:after="0" w:line="236" w:lineRule="exact"/>
        <w:rPr>
          <w:rFonts w:ascii="Arial" w:cs="Arial" w:eastAsia="Arial" w:hAnsi="Arial"/>
          <w:sz w:val="17"/>
          <w:szCs w:val="17"/>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2" w:name="page83"/>
    <w:bookmarkEnd w:id="82"/>
    <w:p>
      <w:pPr>
        <w:ind w:right="60" w:firstLine="648"/>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Eligibility; Disqualification.</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47"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100" w:firstLine="1305"/>
        <w:spacing w:after="0" w:line="277" w:lineRule="auto"/>
        <w:tabs>
          <w:tab w:leader="none" w:pos="169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left="1740" w:hanging="435"/>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sz w:val="20"/>
          <w:szCs w:val="20"/>
          <w:color w:val="auto"/>
        </w:rPr>
      </w:pPr>
    </w:p>
    <w:p>
      <w:pPr>
        <w:ind w:left="1740" w:hanging="435"/>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60" w:firstLine="1305"/>
        <w:spacing w:after="0" w:line="277" w:lineRule="auto"/>
        <w:tabs>
          <w:tab w:leader="none" w:pos="1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and the Company, in the case of (1), (2) or (3)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sz w:val="20"/>
          <w:szCs w:val="20"/>
          <w:color w:val="auto"/>
        </w:rPr>
      </w:pPr>
    </w:p>
    <w:p>
      <w:pPr>
        <w:ind w:left="1100" w:hanging="444"/>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80" w:firstLine="656"/>
        <w:spacing w:after="0" w:line="277" w:lineRule="auto"/>
        <w:tabs>
          <w:tab w:leader="none" w:pos="10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p>
    <w:p>
      <w:pPr>
        <w:spacing w:after="0" w:line="225" w:lineRule="exact"/>
        <w:rPr>
          <w:sz w:val="20"/>
          <w:szCs w:val="20"/>
          <w:color w:val="auto"/>
        </w:rPr>
      </w:pPr>
    </w:p>
    <w:p>
      <w:pPr>
        <w:ind w:right="40" w:firstLine="656"/>
        <w:spacing w:after="0" w:line="255" w:lineRule="auto"/>
        <w:tabs>
          <w:tab w:leader="none" w:pos="10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89" w:lineRule="exact"/>
        <w:rPr>
          <w:rFonts w:ascii="Arial" w:cs="Arial" w:eastAsia="Arial" w:hAnsi="Arial"/>
          <w:sz w:val="18"/>
          <w:szCs w:val="18"/>
          <w:color w:val="auto"/>
        </w:rPr>
      </w:pPr>
    </w:p>
    <w:p>
      <w:pPr>
        <w:jc w:val="both"/>
        <w:ind w:right="80" w:firstLine="656"/>
        <w:spacing w:after="0" w:line="26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ind w:right="40" w:firstLine="656"/>
        <w:spacing w:after="0" w:line="255" w:lineRule="auto"/>
        <w:tabs>
          <w:tab w:leader="none" w:pos="10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4" w:name="page85"/>
    <w:bookmarkEnd w:id="84"/>
    <w:p>
      <w:pPr>
        <w:spacing w:after="0"/>
        <w:tabs>
          <w:tab w:leader="none" w:pos="102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Unless this Section 8.3 is otherwise specified, pursuant to Section 2.2.20,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4" w:lineRule="exact"/>
        <w:rPr>
          <w:sz w:val="20"/>
          <w:szCs w:val="20"/>
          <w:color w:val="auto"/>
        </w:rPr>
      </w:pPr>
    </w:p>
    <w:p>
      <w:pPr>
        <w:ind w:right="40" w:firstLine="656"/>
        <w:spacing w:after="0" w:line="279" w:lineRule="auto"/>
        <w:tabs>
          <w:tab w:leader="none" w:pos="107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1" w:lineRule="exact"/>
        <w:rPr>
          <w:rFonts w:ascii="Arial" w:cs="Arial" w:eastAsia="Arial" w:hAnsi="Arial"/>
          <w:sz w:val="17"/>
          <w:szCs w:val="17"/>
          <w:color w:val="auto"/>
        </w:rPr>
      </w:pPr>
    </w:p>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right="20" w:firstLine="656"/>
        <w:spacing w:after="0" w:line="255" w:lineRule="auto"/>
        <w:tabs>
          <w:tab w:leader="none" w:pos="10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1" w:lineRule="exact"/>
        <w:rPr>
          <w:sz w:val="20"/>
          <w:szCs w:val="20"/>
          <w:color w:val="auto"/>
        </w:rPr>
      </w:pPr>
    </w:p>
    <w:p>
      <w:pPr>
        <w:ind w:right="400" w:firstLine="656"/>
        <w:spacing w:after="0" w:line="277" w:lineRule="auto"/>
        <w:tabs>
          <w:tab w:leader="none" w:pos="10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right="40" w:firstLine="656"/>
        <w:spacing w:after="0" w:line="255" w:lineRule="auto"/>
        <w:tabs>
          <w:tab w:leader="none" w:pos="10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right="120" w:firstLine="656"/>
        <w:spacing w:after="0" w:line="264" w:lineRule="auto"/>
        <w:tabs>
          <w:tab w:leader="none" w:pos="10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 (i) 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Unless this Section 8.4 is otherwise specified pursuant to Section 2.2.20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2.2.20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178" w:lineRule="exact"/>
        <w:rPr>
          <w:sz w:val="20"/>
          <w:szCs w:val="20"/>
          <w:color w:val="auto"/>
        </w:rPr>
      </w:pPr>
    </w:p>
    <w:p>
      <w:pPr>
        <w:jc w:val="both"/>
        <w:ind w:firstLine="656"/>
        <w:spacing w:after="0" w:line="288" w:lineRule="auto"/>
        <w:tabs>
          <w:tab w:leader="none" w:pos="107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w:t>
      </w:r>
    </w:p>
    <w:p>
      <w:pPr>
        <w:ind w:right="20" w:firstLine="8"/>
        <w:spacing w:after="0" w:line="270" w:lineRule="auto"/>
        <w:tabs>
          <w:tab w:leader="none" w:pos="2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78" w:lineRule="exact"/>
        <w:rPr>
          <w:rFonts w:ascii="Arial" w:cs="Arial" w:eastAsia="Arial" w:hAnsi="Arial"/>
          <w:sz w:val="17"/>
          <w:szCs w:val="17"/>
          <w:color w:val="auto"/>
        </w:rPr>
      </w:pPr>
    </w:p>
    <w:p>
      <w:pPr>
        <w:ind w:right="360" w:firstLine="656"/>
        <w:spacing w:after="0" w:line="277" w:lineRule="auto"/>
        <w:tabs>
          <w:tab w:leader="none" w:pos="1083"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248" w:lineRule="exact"/>
        <w:rPr>
          <w:rFonts w:ascii="Arial" w:cs="Arial" w:eastAsia="Arial" w:hAnsi="Arial"/>
          <w:sz w:val="16"/>
          <w:szCs w:val="16"/>
          <w:color w:val="auto"/>
        </w:rPr>
      </w:pPr>
    </w:p>
    <w:p>
      <w:pPr>
        <w:ind w:right="200" w:firstLine="656"/>
        <w:spacing w:after="0" w:line="312" w:lineRule="auto"/>
        <w:tabs>
          <w:tab w:leader="none" w:pos="10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ind w:right="160" w:firstLine="656"/>
        <w:spacing w:after="0" w:line="264" w:lineRule="auto"/>
        <w:tabs>
          <w:tab w:leader="none" w:pos="10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rFonts w:ascii="Arial" w:cs="Arial" w:eastAsia="Arial" w:hAnsi="Arial"/>
          <w:sz w:val="18"/>
          <w:szCs w:val="18"/>
          <w:color w:val="auto"/>
        </w:rPr>
      </w:pPr>
    </w:p>
    <w:p>
      <w:pPr>
        <w:ind w:right="80" w:firstLine="656"/>
        <w:spacing w:after="0" w:line="277" w:lineRule="auto"/>
        <w:tabs>
          <w:tab w:leader="none" w:pos="10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 AMENDMENTS AND WAIVERS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 Holder;</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w:t>
      </w:r>
    </w:p>
    <w:p>
      <w:pPr>
        <w:spacing w:after="0" w:line="236" w:lineRule="exact"/>
        <w:rPr>
          <w:rFonts w:ascii="Arial" w:cs="Arial" w:eastAsia="Arial" w:hAnsi="Arial"/>
          <w:sz w:val="17"/>
          <w:szCs w:val="17"/>
          <w:color w:val="auto"/>
        </w:rPr>
      </w:pPr>
    </w:p>
    <w:p>
      <w:pPr>
        <w:ind w:right="460" w:firstLine="656"/>
        <w:spacing w:after="0" w:line="264" w:lineRule="auto"/>
        <w:tabs>
          <w:tab w:leader="none" w:pos="10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7" w:name="page88"/>
    <w:bookmarkEnd w:id="87"/>
    <w:p>
      <w:pPr>
        <w:ind w:firstLine="648"/>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consent of each Security Holder affected, an amendment or waiver may not:</w:t>
      </w:r>
    </w:p>
    <w:p>
      <w:pPr>
        <w:spacing w:after="0" w:line="225"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120" w:firstLine="656"/>
        <w:spacing w:after="0" w:line="277" w:lineRule="auto"/>
        <w:tabs>
          <w:tab w:leader="none" w:pos="10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right="40" w:firstLine="656"/>
        <w:spacing w:after="0" w:line="264" w:lineRule="auto"/>
        <w:tabs>
          <w:tab w:leader="none" w:pos="10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Compliance with Trust Indenture Act.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8" w:name="page89"/>
    <w:bookmarkEnd w:id="88"/>
    <w:p>
      <w:pPr>
        <w:ind w:right="80" w:firstLine="648"/>
        <w:spacing w:after="0" w:line="286" w:lineRule="auto"/>
        <w:rPr>
          <w:sz w:val="20"/>
          <w:szCs w:val="20"/>
          <w:color w:val="auto"/>
        </w:rPr>
      </w:pPr>
      <w:r>
        <w:rPr>
          <w:rFonts w:ascii="Arial" w:cs="Arial" w:eastAsia="Arial" w:hAnsi="Arial"/>
          <w:sz w:val="17"/>
          <w:szCs w:val="17"/>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584" w:right="259" w:bottom="1440" w:gutter="0" w:footer="0" w:header="0"/>
        </w:sectPr>
      </w:pP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Fax No: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340" w:space="460"/>
            <w:col w:w="9600"/>
          </w:cols>
          <w:pgMar w:left="240" w:top="584" w:right="2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00" w:space="440"/>
            <w:col w:w="9460"/>
          </w:cols>
          <w:pgMar w:left="240" w:top="584" w:right="25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89" w:name="page90"/>
    <w:bookmarkEnd w:id="89"/>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66"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Company mails a notice or communication to Security Holders, it shall mail a copy to the Trustee and each Agent at the same time.</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right="140" w:firstLine="656"/>
        <w:spacing w:after="0" w:line="277" w:lineRule="auto"/>
        <w:tabs>
          <w:tab w:leader="none" w:pos="107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Statements Required in Certificate or Opinion.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500" w:firstLine="656"/>
        <w:spacing w:after="0" w:line="277" w:lineRule="auto"/>
        <w:tabs>
          <w:tab w:leader="none" w:pos="108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420" w:firstLine="656"/>
        <w:spacing w:after="0" w:line="277" w:lineRule="auto"/>
        <w:tabs>
          <w:tab w:leader="none" w:pos="10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0" w:name="page91"/>
    <w:bookmarkEnd w:id="90"/>
    <w:p>
      <w:pPr>
        <w:spacing w:after="0"/>
        <w:tabs>
          <w:tab w:leader="none" w:pos="11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p>
    <w:p>
      <w:pPr>
        <w:spacing w:after="0" w:line="225"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Counterparts.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1" w:name="page92"/>
    <w:bookmarkEnd w:id="91"/>
    <w:p>
      <w:pPr>
        <w:spacing w:after="0"/>
        <w:tabs>
          <w:tab w:leader="none" w:pos="120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 or in ECU.</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040"/>
        <w:spacing w:after="0"/>
        <w:tabs>
          <w:tab w:leader="none" w:pos="5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to Indenture]</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680"/>
          </w:cols>
          <w:pgMar w:left="900" w:top="584" w:right="13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 0484 Oslo,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10 September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acted as Cayman Islands legal advisers to Opera Limited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registration statement on Form F-3, including all 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U.S. Securities Act of 1933, as amended to date relating to the offering by the Company of certain ordinary shares of par value US$0.0001 each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of the Company dated 19 March 2018.</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second amended and restated memorandum and articles of association of the Company as conditionally adopted by a special resolution passed on 13 July 2018 and effective immediately prior to the completion of the Company’s initial public offering of the Shares (the "</w:t>
      </w:r>
      <w:r>
        <w:rPr>
          <w:rFonts w:ascii="Arial" w:cs="Arial" w:eastAsia="Arial" w:hAnsi="Arial"/>
          <w:sz w:val="18"/>
          <w:szCs w:val="18"/>
          <w:b w:val="1"/>
          <w:bCs w:val="1"/>
          <w:color w:val="auto"/>
        </w:rPr>
        <w:t>Memorandum and</w:t>
      </w:r>
      <w:r>
        <w:rPr>
          <w:rFonts w:ascii="Arial" w:cs="Arial" w:eastAsia="Arial" w:hAnsi="Arial"/>
          <w:sz w:val="18"/>
          <w:szCs w:val="18"/>
          <w:color w:val="auto"/>
        </w:rPr>
        <w:t xml:space="preserv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minutes of a meeting (the “Meeting”) of the directors of the Company held on 10 September 2019 (the "</w:t>
      </w:r>
      <w:r>
        <w:rPr>
          <w:rFonts w:ascii="Arial" w:cs="Arial" w:eastAsia="Arial" w:hAnsi="Arial"/>
          <w:sz w:val="16"/>
          <w:szCs w:val="16"/>
          <w:b w:val="1"/>
          <w:bCs w:val="1"/>
          <w:color w:val="auto"/>
        </w:rPr>
        <w:t>Minutes</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 certificate of good standing dated 9 September 2019,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of the Director's Certificate and the Certificate of Good Standing. We have also relied upon the following assumptions, which we have not independently 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Copy documents or drafts of documents provided to us are true and complete copies of, or in the final forms of, the originals.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genuineness of all signatures and seals.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Company is not the subject of legal, arbitral, administrative or other proceedings in any jurisdiction that would have a material adverse effect on the business, properties, financial condition, results of operations or prospects of the Company.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Company will have sufficient authorized capital to effect the issue of the Shares at the time of issuance.</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Registration Statement.</w:t>
      </w:r>
    </w:p>
    <w:p>
      <w:pPr>
        <w:spacing w:after="0" w:line="166"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under the laws of the Cayman Islands.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US$50,000 divided into 500,000,000 ordinary shares of a par value of US$0.0001 each.</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have been duly authorised and when allotted, issued and paid for as contemplated in the Registration Statement, the Shares will be legally issued and allotted, fully paid and non-assessable. As a matter of Cayman law, a share is only issued when it has been entered in the register of members (shareholders).</w:t>
      </w:r>
    </w:p>
    <w:p>
      <w:pPr>
        <w:spacing w:after="0" w:line="177"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opinion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Encl</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309245</wp:posOffset>
            </wp:positionV>
            <wp:extent cx="169799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6979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26th Floor, Gloucester Tower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Landmark</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 Queen’s Road Central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Hong Kong</w:t>
      </w:r>
    </w:p>
    <w:p>
      <w:pPr>
        <w:spacing w:after="0" w:line="217"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Telephone: +852 3761 3300</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Facsimile: +852 3761 3301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www.kirkland.com</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0484 Oslo, Norway</w:t>
      </w:r>
    </w:p>
    <w:p>
      <w:pPr>
        <w:spacing w:after="0" w:line="200" w:lineRule="exact"/>
        <w:rPr>
          <w:sz w:val="20"/>
          <w:szCs w:val="20"/>
          <w:color w:val="auto"/>
        </w:rPr>
      </w:pPr>
    </w:p>
    <w:p>
      <w:pPr>
        <w:spacing w:after="0" w:line="227"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Re:</w:t>
        <w:tab/>
        <w:t>Opera Limited</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Registration Statement on Form F-3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special United States counsel to Opera Limited, an exempted company incorporated with limited liability under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filing of the shelf registration statement on Form F-3 on the date hereof (the “</w:t>
      </w:r>
      <w:r>
        <w:rPr>
          <w:rFonts w:ascii="Arial" w:cs="Arial" w:eastAsia="Arial" w:hAnsi="Arial"/>
          <w:sz w:val="17"/>
          <w:szCs w:val="17"/>
          <w:u w:val="single" w:color="auto"/>
          <w:color w:val="auto"/>
        </w:rPr>
        <w:t>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Statement</w:t>
      </w:r>
      <w:r>
        <w:rPr>
          <w:rFonts w:ascii="Arial" w:cs="Arial" w:eastAsia="Arial" w:hAnsi="Arial"/>
          <w:sz w:val="16"/>
          <w:szCs w:val="16"/>
          <w:color w:val="auto"/>
        </w:rPr>
        <w:t>”) by the Company with the Securities and Exchange Commission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and sale from time to time by the Company, pursuant to Rule 415 of the General Rules and Regulations promulgated under the Act, of (i)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 par value US$0.0001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including Shares represented by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(ii)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series of preferred shares of the Company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(iii) debt securities, which may be secured or unsecured, in one or more series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Securities</w:t>
      </w:r>
      <w:r>
        <w:rPr>
          <w:rFonts w:ascii="Arial" w:cs="Arial" w:eastAsia="Arial" w:hAnsi="Arial"/>
          <w:sz w:val="16"/>
          <w:szCs w:val="16"/>
          <w:color w:val="auto"/>
        </w:rPr>
        <w:t>”), and (iv) warrants representing the right to receive, upon exercise, Shares, ADSs, Preferred Shares or Debt Securities, which may be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one or more warrant agreements of the Company, proposed to be entered into with one or more warrant agents to be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Warrants</w:t>
      </w:r>
      <w:r>
        <w:rPr>
          <w:rFonts w:ascii="Arial" w:cs="Arial" w:eastAsia="Arial" w:hAnsi="Arial"/>
          <w:sz w:val="17"/>
          <w:szCs w:val="17"/>
          <w:color w:val="auto"/>
        </w:rPr>
        <w:t>”). The Debt Securities will be issued under an indenture between the Company and a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 form of which is filed as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to the Registration Statement, as such indenture may be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The Shares, Preferred Shares, 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Warrants are herein collectively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the foregoing and subject to the qualifications set forth herein and in the Registration Statement, we are of the opinion as follows:</w:t>
      </w:r>
    </w:p>
    <w:p>
      <w:pPr>
        <w:spacing w:after="0" w:line="237" w:lineRule="exact"/>
        <w:rPr>
          <w:sz w:val="20"/>
          <w:szCs w:val="20"/>
          <w:color w:val="auto"/>
        </w:rPr>
      </w:pPr>
    </w:p>
    <w:p>
      <w:pPr>
        <w:ind w:left="1620" w:right="80" w:hanging="964"/>
        <w:spacing w:after="0" w:line="270" w:lineRule="auto"/>
        <w:tabs>
          <w:tab w:leader="none" w:pos="1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 respect to the Debt Securities to be issued in one or more series under the Indenture to be entered into by the Company and the Trustee, (i) when the specific terms of any particular series of Debt Securities have been duly established in accordance with the Indenture and applicable law and authorized by all necessary corporate action of the Company (including the adoption by the board of directors of the Company of resolutions duly authorizing the issuance and delivery of such Debt Securities and the Securities that such Debt Securities may be exchangeable for and/or convertible into), and (ii) when any such Debt Securities have been duly executed and issued by the Company, duly authenticated by the Trustee and duly delivered by or on behalf of the Company against payment therefor in accordance with the Indenture and in the manner contemplated by the Registration Statement and/or the related prospectus and by such corporate action, such Debt Securities will be the legally valid and binding obligations of the Company, enforceable against the Company in accordance with their terms.</w:t>
      </w:r>
    </w:p>
    <w:p>
      <w:pPr>
        <w:spacing w:after="0" w:line="200" w:lineRule="exact"/>
        <w:rPr>
          <w:sz w:val="20"/>
          <w:szCs w:val="20"/>
          <w:color w:val="auto"/>
        </w:rPr>
      </w:pPr>
    </w:p>
    <w:p>
      <w:pPr>
        <w:spacing w:after="0" w:line="203" w:lineRule="exact"/>
        <w:rPr>
          <w:sz w:val="20"/>
          <w:szCs w:val="20"/>
          <w:color w:val="auto"/>
        </w:rPr>
      </w:pPr>
    </w:p>
    <w:p>
      <w:pPr>
        <w:ind w:right="1240"/>
        <w:spacing w:after="0" w:line="191" w:lineRule="auto"/>
        <w:rPr>
          <w:sz w:val="20"/>
          <w:szCs w:val="20"/>
          <w:color w:val="auto"/>
        </w:rPr>
      </w:pPr>
      <w:r>
        <w:rPr>
          <w:rFonts w:ascii="Arial" w:cs="Arial" w:eastAsia="Arial" w:hAnsi="Arial"/>
          <w:sz w:val="13"/>
          <w:szCs w:val="13"/>
          <w:b w:val="1"/>
          <w:bCs w:val="1"/>
          <w:color w:val="auto"/>
        </w:rPr>
        <w:t xml:space="preserve">PARTNERS: </w:t>
      </w:r>
      <w:r>
        <w:rPr>
          <w:rFonts w:ascii="Arial" w:cs="Arial" w:eastAsia="Arial" w:hAnsi="Arial"/>
          <w:sz w:val="13"/>
          <w:szCs w:val="13"/>
          <w:color w:val="auto"/>
        </w:rPr>
        <w:t>Pierre-Luc Arsenault</w:t>
      </w:r>
      <w:r>
        <w:rPr>
          <w:rFonts w:ascii="Arial" w:cs="Arial" w:eastAsia="Arial" w:hAnsi="Arial"/>
          <w:sz w:val="21"/>
          <w:szCs w:val="2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3"/>
          <w:szCs w:val="13"/>
          <w:color w:val="auto"/>
        </w:rPr>
        <w:t>| Lai Yi Chau | Damien Coles</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 Meng Ding</w:t>
      </w:r>
      <w:r>
        <w:rPr>
          <w:rFonts w:ascii="Arial" w:cs="Arial" w:eastAsia="Arial" w:hAnsi="Arial"/>
          <w:sz w:val="21"/>
          <w:szCs w:val="2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3"/>
          <w:szCs w:val="13"/>
          <w:color w:val="auto"/>
        </w:rPr>
        <w:t>| Justin M. Dolling</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 David Patrick Eich</w:t>
      </w:r>
      <w:r>
        <w:rPr>
          <w:rFonts w:ascii="Arial" w:cs="Arial" w:eastAsia="Arial" w:hAnsi="Arial"/>
          <w:sz w:val="21"/>
          <w:szCs w:val="21"/>
          <w:color w:val="auto"/>
          <w:vertAlign w:val="superscript"/>
        </w:rPr>
        <w:t>1,5,6</w:t>
      </w:r>
      <w:r>
        <w:rPr>
          <w:rFonts w:ascii="Arial" w:cs="Arial" w:eastAsia="Arial" w:hAnsi="Arial"/>
          <w:sz w:val="13"/>
          <w:szCs w:val="13"/>
          <w:b w:val="1"/>
          <w:bCs w:val="1"/>
          <w:color w:val="auto"/>
        </w:rPr>
        <w:t xml:space="preserve"> </w:t>
      </w:r>
      <w:r>
        <w:rPr>
          <w:rFonts w:ascii="Arial" w:cs="Arial" w:eastAsia="Arial" w:hAnsi="Arial"/>
          <w:sz w:val="13"/>
          <w:szCs w:val="13"/>
          <w:color w:val="auto"/>
        </w:rPr>
        <w:t>| Liu Gan</w:t>
      </w:r>
      <w:r>
        <w:rPr>
          <w:rFonts w:ascii="Arial" w:cs="Arial" w:eastAsia="Arial" w:hAnsi="Arial"/>
          <w:sz w:val="21"/>
          <w:szCs w:val="21"/>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13"/>
          <w:szCs w:val="13"/>
          <w:color w:val="auto"/>
        </w:rPr>
        <w:t>| Karen K.Y. Ho | Damian C. Jacobs</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Hao-Chin Jeng</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Ka Man Lau | Guang Li</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Neil E.M. McDonald | Kelly Naphtali | Ram Narayan</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Nicholas A. Norris</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 Derek K.W. Poon</w:t>
      </w:r>
      <w:r>
        <w:rPr>
          <w:rFonts w:ascii="Arial" w:cs="Arial" w:eastAsia="Arial" w:hAnsi="Arial"/>
          <w:sz w:val="21"/>
          <w:szCs w:val="21"/>
          <w:color w:val="auto"/>
          <w:vertAlign w:val="superscript"/>
        </w:rPr>
        <w:t>3,6</w:t>
      </w:r>
      <w:r>
        <w:rPr>
          <w:rFonts w:ascii="Arial" w:cs="Arial" w:eastAsia="Arial" w:hAnsi="Arial"/>
          <w:sz w:val="13"/>
          <w:szCs w:val="13"/>
          <w:color w:val="auto"/>
        </w:rPr>
        <w:t xml:space="preserve"> | Peng Qi</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Paul S. Quinn | Richard C.C. Sharpe | Jesse D. Sheley</w:t>
      </w:r>
      <w:r>
        <w:rPr>
          <w:rFonts w:ascii="Arial" w:cs="Arial" w:eastAsia="Arial" w:hAnsi="Arial"/>
          <w:sz w:val="21"/>
          <w:szCs w:val="21"/>
          <w:color w:val="auto"/>
          <w:vertAlign w:val="superscript"/>
        </w:rPr>
        <w:t>#</w:t>
      </w:r>
      <w:r>
        <w:rPr>
          <w:rFonts w:ascii="Arial" w:cs="Arial" w:eastAsia="Arial" w:hAnsi="Arial"/>
          <w:sz w:val="13"/>
          <w:szCs w:val="13"/>
          <w:color w:val="auto"/>
        </w:rPr>
        <w:t xml:space="preserve"> | Arthur K.H. Tso | Susan S.X. Wang | Tarun R. Warriar</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 Li Chien Wong | David Yun</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 Jacqueline B.N. Zheng</w:t>
      </w:r>
      <w:r>
        <w:rPr>
          <w:rFonts w:ascii="Arial" w:cs="Arial" w:eastAsia="Arial" w:hAnsi="Arial"/>
          <w:sz w:val="21"/>
          <w:szCs w:val="21"/>
          <w:color w:val="auto"/>
          <w:vertAlign w:val="superscript"/>
        </w:rPr>
        <w:t>3,6</w:t>
      </w:r>
    </w:p>
    <w:p>
      <w:pPr>
        <w:spacing w:after="0" w:line="1" w:lineRule="exact"/>
        <w:rPr>
          <w:sz w:val="20"/>
          <w:szCs w:val="20"/>
          <w:color w:val="auto"/>
        </w:rPr>
      </w:pPr>
    </w:p>
    <w:p>
      <w:pPr>
        <w:ind w:right="580"/>
        <w:spacing w:after="0" w:line="187" w:lineRule="auto"/>
        <w:rPr>
          <w:sz w:val="20"/>
          <w:szCs w:val="20"/>
          <w:color w:val="auto"/>
        </w:rPr>
      </w:pPr>
      <w:r>
        <w:rPr>
          <w:rFonts w:ascii="Arial" w:cs="Arial" w:eastAsia="Arial" w:hAnsi="Arial"/>
          <w:sz w:val="13"/>
          <w:szCs w:val="13"/>
          <w:b w:val="1"/>
          <w:bCs w:val="1"/>
          <w:color w:val="auto"/>
        </w:rPr>
        <w:t xml:space="preserve">REGISTERED FOREIGN LAWYERS: </w:t>
      </w:r>
      <w:r>
        <w:rPr>
          <w:rFonts w:ascii="Arial" w:cs="Arial" w:eastAsia="Arial" w:hAnsi="Arial"/>
          <w:sz w:val="13"/>
          <w:szCs w:val="13"/>
          <w:color w:val="auto"/>
        </w:rPr>
        <w:t>Daniel J. Abercromby</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 Daniel Dusek</w:t>
      </w:r>
      <w:r>
        <w:rPr>
          <w:rFonts w:ascii="Arial" w:cs="Arial" w:eastAsia="Arial" w:hAnsi="Arial"/>
          <w:sz w:val="21"/>
          <w:szCs w:val="2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3"/>
          <w:szCs w:val="13"/>
          <w:color w:val="auto"/>
        </w:rPr>
        <w:t>| Jennifer Y.Y. Feng</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 Han Gao</w:t>
      </w:r>
      <w:r>
        <w:rPr>
          <w:rFonts w:ascii="Arial" w:cs="Arial" w:eastAsia="Arial" w:hAnsi="Arial"/>
          <w:sz w:val="21"/>
          <w:szCs w:val="21"/>
          <w:color w:val="auto"/>
          <w:vertAlign w:val="superscript"/>
        </w:rPr>
        <w:t>4</w:t>
      </w:r>
      <w:r>
        <w:rPr>
          <w:rFonts w:ascii="Arial" w:cs="Arial" w:eastAsia="Arial" w:hAnsi="Arial"/>
          <w:sz w:val="13"/>
          <w:szCs w:val="13"/>
          <w:b w:val="1"/>
          <w:bCs w:val="1"/>
          <w:color w:val="auto"/>
        </w:rPr>
        <w:t xml:space="preserve"> </w:t>
      </w:r>
      <w:r>
        <w:rPr>
          <w:rFonts w:ascii="Arial" w:cs="Arial" w:eastAsia="Arial" w:hAnsi="Arial"/>
          <w:sz w:val="13"/>
          <w:szCs w:val="13"/>
          <w:color w:val="auto"/>
        </w:rPr>
        <w:t>| David M. Irvine</w:t>
      </w:r>
      <w:r>
        <w:rPr>
          <w:rFonts w:ascii="Arial" w:cs="Arial" w:eastAsia="Arial" w:hAnsi="Arial"/>
          <w:sz w:val="21"/>
          <w:szCs w:val="21"/>
          <w:color w:val="auto"/>
          <w:vertAlign w:val="superscript"/>
        </w:rPr>
        <w:t>6</w:t>
      </w:r>
      <w:r>
        <w:rPr>
          <w:rFonts w:ascii="Arial" w:cs="Arial" w:eastAsia="Arial" w:hAnsi="Arial"/>
          <w:sz w:val="13"/>
          <w:szCs w:val="13"/>
          <w:b w:val="1"/>
          <w:bCs w:val="1"/>
          <w:color w:val="auto"/>
        </w:rPr>
        <w:t xml:space="preserve"> </w:t>
      </w:r>
      <w:r>
        <w:rPr>
          <w:rFonts w:ascii="Arial" w:cs="Arial" w:eastAsia="Arial" w:hAnsi="Arial"/>
          <w:sz w:val="13"/>
          <w:szCs w:val="13"/>
          <w:color w:val="auto"/>
        </w:rPr>
        <w:t>| Benjamin W. James</w:t>
      </w:r>
      <w:r>
        <w:rPr>
          <w:rFonts w:ascii="Arial" w:cs="Arial" w:eastAsia="Arial" w:hAnsi="Arial"/>
          <w:sz w:val="21"/>
          <w:szCs w:val="21"/>
          <w:color w:val="auto"/>
          <w:vertAlign w:val="superscript"/>
        </w:rPr>
        <w:t>4</w:t>
      </w:r>
      <w:r>
        <w:rPr>
          <w:rFonts w:ascii="Arial" w:cs="Arial" w:eastAsia="Arial" w:hAnsi="Arial"/>
          <w:sz w:val="13"/>
          <w:szCs w:val="13"/>
          <w:b w:val="1"/>
          <w:bCs w:val="1"/>
          <w:color w:val="auto"/>
        </w:rPr>
        <w:t xml:space="preserve"> </w:t>
      </w:r>
      <w:r>
        <w:rPr>
          <w:rFonts w:ascii="Arial" w:cs="Arial" w:eastAsia="Arial" w:hAnsi="Arial"/>
          <w:sz w:val="13"/>
          <w:szCs w:val="13"/>
          <w:color w:val="auto"/>
        </w:rPr>
        <w:t>| Cori A. Lable</w:t>
      </w:r>
      <w:r>
        <w:rPr>
          <w:rFonts w:ascii="Arial" w:cs="Arial" w:eastAsia="Arial" w:hAnsi="Arial"/>
          <w:sz w:val="21"/>
          <w:szCs w:val="21"/>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13"/>
          <w:szCs w:val="13"/>
          <w:color w:val="auto"/>
        </w:rPr>
        <w:t>| Xiaoxi Lin</w:t>
      </w:r>
      <w:r>
        <w:rPr>
          <w:rFonts w:ascii="Arial" w:cs="Arial" w:eastAsia="Arial" w:hAnsi="Arial"/>
          <w:sz w:val="21"/>
          <w:szCs w:val="2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Daniel A. Margulies</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 Mi Tang</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Wenchen Tang</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Liyong Xing</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 David Zhang</w:t>
      </w:r>
      <w:r>
        <w:rPr>
          <w:rFonts w:ascii="Arial" w:cs="Arial" w:eastAsia="Arial" w:hAnsi="Arial"/>
          <w:sz w:val="21"/>
          <w:szCs w:val="21"/>
          <w:color w:val="auto"/>
          <w:vertAlign w:val="superscript"/>
        </w:rPr>
        <w:t>3</w:t>
      </w:r>
    </w:p>
    <w:p>
      <w:pPr>
        <w:spacing w:after="0" w:line="2" w:lineRule="exact"/>
        <w:rPr>
          <w:sz w:val="20"/>
          <w:szCs w:val="20"/>
          <w:color w:val="auto"/>
        </w:rPr>
      </w:pPr>
    </w:p>
    <w:p>
      <w:pPr>
        <w:ind w:right="1000"/>
        <w:spacing w:after="0" w:line="223" w:lineRule="auto"/>
        <w:rPr>
          <w:sz w:val="20"/>
          <w:szCs w:val="20"/>
          <w:color w:val="auto"/>
        </w:rPr>
      </w:pPr>
      <w:r>
        <w:rPr>
          <w:rFonts w:ascii="Arial" w:cs="Arial" w:eastAsia="Arial" w:hAnsi="Arial"/>
          <w:sz w:val="14"/>
          <w:szCs w:val="14"/>
          <w:b w:val="1"/>
          <w:bCs w:val="1"/>
          <w:color w:val="auto"/>
        </w:rPr>
        <w:t xml:space="preserve">ADMITTED IN: </w:t>
      </w:r>
      <w:r>
        <w:rPr>
          <w:rFonts w:ascii="Arial" w:cs="Arial" w:eastAsia="Arial" w:hAnsi="Arial"/>
          <w:sz w:val="23"/>
          <w:szCs w:val="23"/>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State of Illinois (U.S.A.);</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color w:val="auto"/>
        </w:rPr>
        <w:t>Commonwealth of Massachusetts (U.S.A.);</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State of New York (U.S.A.);</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4</w:t>
      </w:r>
      <w:r>
        <w:rPr>
          <w:rFonts w:ascii="Arial" w:cs="Arial" w:eastAsia="Arial" w:hAnsi="Arial"/>
          <w:sz w:val="14"/>
          <w:szCs w:val="14"/>
          <w:b w:val="1"/>
          <w:bCs w:val="1"/>
          <w:color w:val="auto"/>
        </w:rPr>
        <w:t xml:space="preserve"> </w:t>
      </w:r>
      <w:r>
        <w:rPr>
          <w:rFonts w:ascii="Arial" w:cs="Arial" w:eastAsia="Arial" w:hAnsi="Arial"/>
          <w:sz w:val="14"/>
          <w:szCs w:val="14"/>
          <w:color w:val="auto"/>
        </w:rPr>
        <w:t>State of Texas (U.S.A.);</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5</w:t>
      </w:r>
      <w:r>
        <w:rPr>
          <w:rFonts w:ascii="Arial" w:cs="Arial" w:eastAsia="Arial" w:hAnsi="Arial"/>
          <w:sz w:val="14"/>
          <w:szCs w:val="14"/>
          <w:b w:val="1"/>
          <w:bCs w:val="1"/>
          <w:color w:val="auto"/>
        </w:rPr>
        <w:t xml:space="preserve"> </w:t>
      </w:r>
      <w:r>
        <w:rPr>
          <w:rFonts w:ascii="Arial" w:cs="Arial" w:eastAsia="Arial" w:hAnsi="Arial"/>
          <w:sz w:val="14"/>
          <w:szCs w:val="14"/>
          <w:color w:val="auto"/>
        </w:rPr>
        <w:t>State of Wisconsin (U.S.A.);</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6</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England and Wales; </w:t>
      </w:r>
      <w:r>
        <w:rPr>
          <w:rFonts w:ascii="Arial" w:cs="Arial" w:eastAsia="Arial" w:hAnsi="Arial"/>
          <w:sz w:val="23"/>
          <w:szCs w:val="23"/>
          <w:color w:val="auto"/>
          <w:vertAlign w:val="superscript"/>
        </w:rPr>
        <w:t>#</w:t>
      </w:r>
      <w:r>
        <w:rPr>
          <w:rFonts w:ascii="Arial" w:cs="Arial" w:eastAsia="Arial" w:hAnsi="Arial"/>
          <w:sz w:val="14"/>
          <w:szCs w:val="14"/>
          <w:color w:val="auto"/>
        </w:rPr>
        <w:t xml:space="preserve"> non-resident</w:t>
      </w:r>
    </w:p>
    <w:p>
      <w:pPr>
        <w:spacing w:after="0" w:line="15" w:lineRule="exact"/>
        <w:rPr>
          <w:sz w:val="20"/>
          <w:szCs w:val="20"/>
          <w:color w:val="auto"/>
        </w:rPr>
      </w:pPr>
    </w:p>
    <w:p>
      <w:pPr>
        <w:spacing w:after="0"/>
        <w:tabs>
          <w:tab w:leader="none" w:pos="560" w:val="left"/>
          <w:tab w:leader="none" w:pos="1100" w:val="left"/>
          <w:tab w:leader="none" w:pos="1740" w:val="left"/>
          <w:tab w:leader="none" w:pos="2240" w:val="left"/>
          <w:tab w:leader="none" w:pos="2880" w:val="left"/>
          <w:tab w:leader="none" w:pos="3460" w:val="left"/>
          <w:tab w:leader="none" w:pos="4320" w:val="left"/>
          <w:tab w:leader="none" w:pos="4920" w:val="left"/>
          <w:tab w:leader="none" w:pos="5640" w:val="left"/>
          <w:tab w:leader="none" w:pos="6320" w:val="left"/>
          <w:tab w:leader="none" w:pos="6760" w:val="left"/>
          <w:tab w:leader="none" w:pos="7720" w:val="left"/>
          <w:tab w:leader="none" w:pos="8400" w:val="left"/>
        </w:tabs>
        <w:rPr>
          <w:sz w:val="20"/>
          <w:szCs w:val="20"/>
          <w:color w:val="auto"/>
        </w:rPr>
      </w:pPr>
      <w:r>
        <w:rPr>
          <w:rFonts w:ascii="Arial" w:cs="Arial" w:eastAsia="Arial" w:hAnsi="Arial"/>
          <w:sz w:val="14"/>
          <w:szCs w:val="14"/>
          <w:color w:val="auto"/>
        </w:rPr>
        <w:t>Beijing</w:t>
        <w:tab/>
        <w:t>Boston</w:t>
        <w:tab/>
        <w:t>Chicago</w:t>
        <w:tab/>
        <w:t>Dallas</w:t>
        <w:tab/>
        <w:t>Houston</w:t>
        <w:tab/>
        <w:t>London</w:t>
        <w:tab/>
        <w:t>Los Angeles</w:t>
        <w:tab/>
        <w:t>Munich</w:t>
        <w:tab/>
        <w:t>New York</w:t>
        <w:tab/>
        <w:t>Palo Alto</w:t>
        <w:tab/>
        <w:t>Paris</w:t>
        <w:tab/>
        <w:t>San Francisco</w:t>
        <w:tab/>
        <w:t>Shanghai</w:t>
      </w:r>
      <w:r>
        <w:rPr>
          <w:sz w:val="20"/>
          <w:szCs w:val="20"/>
          <w:color w:val="auto"/>
        </w:rPr>
        <w:tab/>
      </w:r>
      <w:r>
        <w:rPr>
          <w:rFonts w:ascii="Arial" w:cs="Arial" w:eastAsia="Arial" w:hAnsi="Arial"/>
          <w:sz w:val="13"/>
          <w:szCs w:val="13"/>
          <w:color w:val="auto"/>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2936240</wp:posOffset>
            </wp:positionH>
            <wp:positionV relativeFrom="page">
              <wp:posOffset>380365</wp:posOffset>
            </wp:positionV>
            <wp:extent cx="169799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697990" cy="146050"/>
                    </a:xfrm>
                    <a:prstGeom prst="rect">
                      <a:avLst/>
                    </a:prstGeom>
                    <a:noFill/>
                  </pic:spPr>
                </pic:pic>
              </a:graphicData>
            </a:graphic>
          </wp:anchor>
        </w:drawing>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20" w:hanging="964"/>
        <w:spacing w:after="0" w:line="271"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respect to the Warrants to be issued in one or more series by the Company, (i) when the specific terms of any such Warrants have been duly established in accordance with applicable law and authorized by all necessary corporate action of the Company (including the adoption by the board of directors of the Company of resolutions duly authorizing the issuance and delivery of such Warrants and the Securities that such Warrants may be exercisable for), and (ii) when any such Warrants have been duly executed and issued by the Company and such Warrants have been duly delivered by or on behalf of the Company against payment therefor in accordance with the Warrants and/or any warrant agreement and in the manner contemplated by the Registration Statement and/or the related prospectus and by such corporate action, such Warrants will be the legally valid and binding obligations of the Company, enforceable against the Company in accordance with their terms.</w:t>
      </w:r>
    </w:p>
    <w:p>
      <w:pPr>
        <w:spacing w:after="0" w:line="17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For purposes of this letter, we have examined originals, or copies certified or otherwise identified to our satisfaction, of the Registration Statement, the Indenture and such other documents, corporate records and other instruments as we have deemed necessary or appropriate. We have relied upon certificates and other assurances of officers of the Company and others as to factual matters without having independently verified such factual matters.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opinion (an “</w:t>
      </w:r>
      <w:r>
        <w:rPr>
          <w:rFonts w:ascii="Arial" w:cs="Arial" w:eastAsia="Arial" w:hAnsi="Arial"/>
          <w:sz w:val="17"/>
          <w:szCs w:val="17"/>
          <w:u w:val="single" w:color="auto"/>
          <w:color w:val="auto"/>
        </w:rPr>
        <w:t>enforceability opinion</w:t>
      </w:r>
      <w:r>
        <w:rPr>
          <w:rFonts w:ascii="Arial" w:cs="Arial" w:eastAsia="Arial" w:hAnsi="Arial"/>
          <w:sz w:val="17"/>
          <w:szCs w:val="17"/>
          <w:color w:val="auto"/>
        </w:rPr>
        <w:t>”) in this letter that any Security is a valid and binding obligation or is enforceable in accordance with its terms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In addition, we do not express any opinion as to the enforceability of any rights to contribution or indemnification which may be violative of public policy underlying any law, rule or regulation (including any federal or state securities law, rule or regulation). “General principles of equity” include, but are not limited to: principles limiting the availability of specific performance and injunctive relief; principles which limit the availability of a remedy under certain circumstances where another remedy has been elected; principles requiring reasonableness, good faith and fair dealing in the performance and enforcement of an agreement by the party seeking enforcement; principles which may permit a party to cure a material failure to perform its obligations; and principles affording equitable defenses such as waiver, laches and estoppel.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2936240</wp:posOffset>
            </wp:positionH>
            <wp:positionV relativeFrom="page">
              <wp:posOffset>380365</wp:posOffset>
            </wp:positionV>
            <wp:extent cx="169799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697990" cy="146050"/>
                    </a:xfrm>
                    <a:prstGeom prst="rect">
                      <a:avLst/>
                    </a:prstGeom>
                    <a:noFill/>
                  </pic:spPr>
                </pic:pic>
              </a:graphicData>
            </a:graphic>
          </wp:anchor>
        </w:drawing>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Except as noted below, our advice on every legal issue addressed in this letter is based exclusively on the internal law of the State of New York and the federal law of the United States (the “</w:t>
      </w:r>
      <w:r>
        <w:rPr>
          <w:rFonts w:ascii="Arial" w:cs="Arial" w:eastAsia="Arial" w:hAnsi="Arial"/>
          <w:sz w:val="17"/>
          <w:szCs w:val="17"/>
          <w:u w:val="single" w:color="auto"/>
          <w:color w:val="auto"/>
        </w:rPr>
        <w:t>Applicable Laws</w:t>
      </w:r>
      <w:r>
        <w:rPr>
          <w:rFonts w:ascii="Arial" w:cs="Arial" w:eastAsia="Arial" w:hAnsi="Arial"/>
          <w:sz w:val="17"/>
          <w:szCs w:val="17"/>
          <w:color w:val="auto"/>
        </w:rPr>
        <w:t>”). The Indenture provides that the governing law thereunder shall be the laws of the State of New York and for purposes of the opinions herein we have assumed that the governing law under each of the Debt Securities and the Warrants shall be the laws of the State of New York. We express no opinion as to what law might be applied by any other courts to resolve any issue addressed by our opinion and we express no opinion as to whether any relevant differences exist between the laws upon which our opinions are based and any other laws which may actually be applied to resolve issues which may arise under any of the Debt Securities, the Indenture and the Warrants (collectively, the “</w:t>
      </w:r>
      <w:r>
        <w:rPr>
          <w:rFonts w:ascii="Arial" w:cs="Arial" w:eastAsia="Arial" w:hAnsi="Arial"/>
          <w:sz w:val="17"/>
          <w:szCs w:val="17"/>
          <w:u w:val="single" w:color="auto"/>
          <w:color w:val="auto"/>
        </w:rPr>
        <w:t>Documents</w:t>
      </w:r>
      <w:r>
        <w:rPr>
          <w:rFonts w:ascii="Arial" w:cs="Arial" w:eastAsia="Arial" w:hAnsi="Arial"/>
          <w:sz w:val="17"/>
          <w:szCs w:val="17"/>
          <w:color w:val="auto"/>
        </w:rPr>
        <w:t>”). The manner in which any particular issue would be treated in any actual court case would depend in part on facts and circumstances particular to the case and would also depend on how the court involved chose to exercise the wide discretionary authority generally available to it. This letter is not intended to guarantee the outcome of any legal dispute that may arise in the future.</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not undertaken any search of court records for purposes of this letter. We have assumed that each applicable party to the Documents (i) is an entity duly incorporated or organized, validly existing and in good standing under the laws of the jurisdiction of its incorporation or organization, (ii) has adopted by requisite vote of its board of directors, board of managers or analogous governing body the resolutions or approvals necessary to authorize such party’s execution, delivery and performance of such Documents, (iii) has duly authorized, executed and delivered such Documents, (iv) has all corporate and other organizational power and authority (including without limitation the power and authority under the laws of its jurisdiction of organization) to execute and deliver such Documents and perform its respective obligations under such Documents; (v) has satisfied all legal requirements that are applicable to such party to the extent necessary to entitle such party to enforce such Documents; and (vi) is not required by any law to obtain any consent, approval, authorization or order of any court or governmental agency in order to obtain the right to enter into such Documents or to take any action taken by it in connection with the consummation of the transactions contemplated in the Documents in accordance with their terms, and the execution and delivery by such party of the Documents, and that the consummation of the transactions contemplated thereby in accordance with the terms thereof will not violate any existing provisions of the organizational documents of such party or any law or governmental regulation. For purposes of the opinions above, we have assumed, without conducting any research or investigation with respect thereto, the corporate or other power of, and the due authorization, execution and delivery of the Documents by, the Company, the absence of any conflicts with the organizational documents of the Company and the absence of any conflicts with, or consents required under, the laws, rules and regulations of any jurisdiction other than the State of New York.</w:t>
      </w:r>
    </w:p>
    <w:p>
      <w:pPr>
        <w:spacing w:after="0" w:line="17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preparing this letter we have relied without independent verification upon: (i) information contained in certificates obtained from governmental authorities; and (ii) factual information provided to us by the Company. We have assumed that there has been no relevant change or development between the dates as of which the information cited in the preceding sentence was made available to us and the date of this letter and that the information upon which we have relied is accurate and does not omit disclosures necessary to prevent such information from being misleading. Whenever this letter provides advice about (or based upon) our knowledge of any particular information, such advice is based entirely on the actual knowledge at the time this letter is delivered on the date it bears by the lawyers with Kirkland &amp; Ellis who have represented or are representing the Company in connection with the issuance of the Securities after consultation with other lawyers with Kirkland &amp; Ellis who have represented the Company on other substantive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2936240</wp:posOffset>
            </wp:positionH>
            <wp:positionV relativeFrom="page">
              <wp:posOffset>380365</wp:posOffset>
            </wp:positionV>
            <wp:extent cx="169799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697990" cy="146050"/>
                    </a:xfrm>
                    <a:prstGeom prst="rect">
                      <a:avLst/>
                    </a:prstGeom>
                    <a:noFill/>
                  </pic:spPr>
                </pic:pic>
              </a:graphicData>
            </a:graphic>
          </wp:anchor>
        </w:drawing>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None of the opinions or other advice contained in this letter considers or covers: (a) any antifraud laws, rules or regulations; (b) any state securities (or “blue sky”) laws or regulations or securities laws or regulations of jurisdictions outside the United States; (c) any financial statements or supporting schedules (or any notes to any such statements or schedules) or other financial or statistical information derived therefrom set forth in (or omitted from) the Registration Statement and/or the related prospectus; or (d) any laws, statutes, governmental rules or regulations or decisions which in our experience are not usually considered for or covered by opinions like those contained in this letter or are not generally applicable to transactions of the kind covered by the Documents including any regulatory laws or requirements specific to the industry in which you or the Company is engaged. In addition, none of the opinions or other advice contained in this letter covers or otherwise addresses any of the following types of provisions which may be contained in the Documents:</w:t>
      </w:r>
    </w:p>
    <w:p>
      <w:pPr>
        <w:spacing w:after="0" w:line="3" w:lineRule="exact"/>
        <w:rPr>
          <w:sz w:val="20"/>
          <w:szCs w:val="20"/>
          <w:color w:val="auto"/>
        </w:rPr>
      </w:pPr>
    </w:p>
    <w:p>
      <w:pPr>
        <w:ind w:right="20" w:firstLine="8"/>
        <w:spacing w:after="0" w:line="253"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provisions mandating contribution towards judgments or settlements among various parties; (ii) waivers of benefits and rights to the extent they cannot be waived under applicable law; (iii) provisions providing for liquidated damages, late charges and prepayment charges, in each case if deemed to constitute penalties; or (iv) requirements in the Documents specifying that provisions thereof may only be waived in writing (these provisions may not be valid, binding or enforceable to the extent that an oral agreement or an implied agreement by trade practice or course of conduct has been created modifying any provision of such documents).</w:t>
      </w:r>
    </w:p>
    <w:p>
      <w:pPr>
        <w:spacing w:after="0" w:line="1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promulgated under the Act, and no opinion is expressed herein as to any matter pertaining to the contents of the Registration Statement, other than as to the specific issues addressed herein, and no opinion may be inferred or implied beyond that expressly stated herein.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us in the Registration Statement in the section “Legal Matters.” In giving this consent, we do not thereby admit that we are “experts” within the meaning of the Securities Act of 1933, as amended.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Kirkland &amp; Ellis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w:t>
      </w:r>
    </w:p>
    <w:p>
      <w:pPr>
        <w:sectPr>
          <w:pgSz w:w="11900" w:h="16838" w:orient="portrait"/>
          <w:cols w:equalWidth="0" w:num="1">
            <w:col w:w="11380"/>
          </w:cols>
          <w:pgMar w:left="240" w:top="1030" w:right="2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use of our report dated April 17, 2019, with respect to the consolidated statements of financial position of Opera Limited and subsidiaries as of December 31, 2018 and 2017, and the related consolidated statements of operations, comprehensive income (loss), changes in equity, and cash flows for each of the years in the two-year period ended December 31, 2018 (Successor) and for the period from July 26, 2016 to December 31, 2016 (Successor), and for the period from January 1, 2016 to November 3, 2016 (Predecessor), and the related notes (collectively, the “consolidated financial statements”), incorporated herein by reference and to the reference to our firm under the heading "Experts" in the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report contains an emphasis of matter paragraph that states the Predecessor financial statements have been prepared on a carve-out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KPMG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Oslo, 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23.4</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[Letterhead of Wikborg Rein Advokatfirma]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0484 Oslo, Norway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hereby consent to the use of our name under the captions “Enforceability of Civil Liabilities” and “Legal Matters” in the prospectus included in the registration statement on Form F-3, originally filed by Opera Limited on September 10, 2019, with the Securities and Exchange Commission under the Securities Act of 1933, as amended. In giving such consent, we do not hereby admit that we come within the category of persons whose consent is required under Section 7 of the Securities Act of 1933, as amended, or the regulations promulgated thereunder.</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Wikborg Rein Advokatfirma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Wikborg Rein Advokatfirma</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upperLetter"/>
      <w:start w:val="2"/>
    </w:lvl>
    <w:lvl w:ilvl="1">
      <w:lvlJc w:val="left"/>
      <w:lvlText w:val="†"/>
      <w:numFmt w:val="bullet"/>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1)"/>
      <w:numFmt w:val="decimal"/>
      <w:start w:val="3"/>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lowerLetter"/>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9">
    <w:nsid w:val="275AC794"/>
    <w:multiLevelType w:val="hybridMultilevel"/>
    <w:lvl w:ilvl="0">
      <w:lvlJc w:val="left"/>
      <w:lvlText w:val="(%1)"/>
      <w:numFmt w:val="decimal"/>
      <w:start w:val="2"/>
    </w:lvl>
    <w:lvl w:ilvl="1">
      <w:lvlJc w:val="left"/>
      <w:lvlText w:val="(%2)"/>
      <w:numFmt w:val="lowerRoman"/>
      <w:start w:val="1"/>
    </w:lvl>
  </w:abstractNum>
  <w:abstractNum w:abstractNumId="30">
    <w:nsid w:val="39386575"/>
    <w:multiLevelType w:val="hybridMultilevel"/>
    <w:lvl w:ilvl="0">
      <w:lvlJc w:val="left"/>
      <w:lvlText w:val="(%1)"/>
      <w:numFmt w:val="decimal"/>
      <w:start w:val="6"/>
    </w:lvl>
  </w:abstractNum>
  <w:abstractNum w:abstractNumId="31">
    <w:nsid w:val="1CF10FD8"/>
    <w:multiLevelType w:val="hybridMultilevel"/>
    <w:lvl w:ilvl="0">
      <w:lvlJc w:val="left"/>
      <w:lvlText w:val="%1"/>
      <w:numFmt w:val="upperLetter"/>
      <w:start w:val="1"/>
    </w:lvl>
    <w:lvl w:ilvl="1">
      <w:lvlJc w:val="left"/>
      <w:lvlText w:val="(%2)"/>
      <w:numFmt w:val="lowerRoman"/>
      <w:start w:val="1"/>
    </w:lvl>
  </w:abstractNum>
  <w:abstractNum w:abstractNumId="32">
    <w:nsid w:val="180115BE"/>
    <w:multiLevelType w:val="hybridMultilevel"/>
    <w:lvl w:ilvl="0">
      <w:lvlJc w:val="left"/>
      <w:lvlText w:val="(%1)"/>
      <w:numFmt w:val="upperLetter"/>
      <w:start w:val="2"/>
    </w:lvl>
    <w:lvl w:ilvl="1">
      <w:lvlJc w:val="left"/>
      <w:lvlText w:val="%2"/>
      <w:numFmt w:val="lowerRoman"/>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lowerRoman"/>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3"/>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Roman"/>
      <w:start w:val="2"/>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lowerLetter"/>
      <w:start w:val="4"/>
    </w:lvl>
    <w:lvl w:ilvl="1">
      <w:lvlJc w:val="left"/>
      <w:lvlText w:val="(%2)"/>
      <w:numFmt w:val="lowerRoman"/>
      <w:start w:val="1"/>
    </w:lvl>
  </w:abstractNum>
  <w:abstractNum w:abstractNumId="44">
    <w:nsid w:val="579BE4F1"/>
    <w:multiLevelType w:val="hybridMultilevel"/>
    <w:lvl w:ilvl="0">
      <w:lvlJc w:val="left"/>
      <w:lvlText w:val="(%1)"/>
      <w:numFmt w:val="lowerRoman"/>
      <w:start w:val="1"/>
    </w:lvl>
  </w:abstractNum>
  <w:abstractNum w:abstractNumId="45">
    <w:nsid w:val="310C50B3"/>
    <w:multiLevelType w:val="hybridMultilevel"/>
    <w:lvl w:ilvl="0">
      <w:lvlJc w:val="left"/>
      <w:lvlText w:val="(%1)"/>
      <w:numFmt w:val="lowerLetter"/>
      <w:start w:val="6"/>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2"/>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1)"/>
      <w:numFmt w:val="lowerLetter"/>
      <w:start w:val="2"/>
    </w:lvl>
    <w:lvl w:ilvl="1">
      <w:lvlJc w:val="left"/>
      <w:lvlText w:val="(%2)"/>
      <w:numFmt w:val="lowerRoman"/>
      <w:start w:val="1"/>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2"/>
    </w:lvl>
  </w:abstractNum>
  <w:abstractNum w:abstractNumId="55">
    <w:nsid w:val="6590700B"/>
    <w:multiLevelType w:val="hybridMultilevel"/>
    <w:lvl w:ilvl="0">
      <w:lvlJc w:val="left"/>
      <w:lvlText w:val="(%1)"/>
      <w:numFmt w:val="lowerLetter"/>
      <w:start w:val="10"/>
    </w:lvl>
  </w:abstractNum>
  <w:abstractNum w:abstractNumId="56">
    <w:nsid w:val="15014ACB"/>
    <w:multiLevelType w:val="hybridMultilevel"/>
    <w:lvl w:ilvl="0">
      <w:lvlJc w:val="left"/>
      <w:lvlText w:val="(%1)"/>
      <w:numFmt w:val="lowerLetter"/>
      <w:start w:val="13"/>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lvl w:ilvl="1">
      <w:lvlJc w:val="left"/>
      <w:lvlText w:val="(%2)"/>
      <w:numFmt w:val="lowerLetter"/>
      <w:start w:val="9"/>
    </w:lvl>
  </w:abstractNum>
  <w:abstractNum w:abstractNumId="60">
    <w:nsid w:val="6B94764"/>
    <w:multiLevelType w:val="hybridMultilevel"/>
    <w:lvl w:ilvl="0">
      <w:lvlJc w:val="left"/>
      <w:lvlText w:val="(%1)"/>
      <w:numFmt w:val="lowerRoman"/>
      <w:start w:val="2"/>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lowerLetter"/>
      <w:start w:val="2"/>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4"/>
    </w:lvl>
  </w:abstractNum>
  <w:abstractNum w:abstractNumId="66">
    <w:nsid w:val="540A471C"/>
    <w:multiLevelType w:val="hybridMultilevel"/>
    <w:lvl w:ilvl="0">
      <w:lvlJc w:val="left"/>
      <w:lvlText w:val="(%1)"/>
      <w:numFmt w:val="lowerLetter"/>
      <w:start w:val="5"/>
    </w:lvl>
  </w:abstractNum>
  <w:abstractNum w:abstractNumId="67">
    <w:nsid w:val="7BD3EE7B"/>
    <w:multiLevelType w:val="hybridMultilevel"/>
    <w:lvl w:ilvl="0">
      <w:lvlJc w:val="left"/>
      <w:lvlText w:val="(%1)"/>
      <w:numFmt w:val="lowerLetter"/>
      <w:start w:val="8"/>
    </w:lvl>
  </w:abstractNum>
  <w:abstractNum w:abstractNumId="68">
    <w:nsid w:val="51D9C564"/>
    <w:multiLevelType w:val="hybridMultilevel"/>
    <w:lvl w:ilvl="0">
      <w:lvlJc w:val="left"/>
      <w:lvlText w:val="%1"/>
      <w:numFmt w:val="lowerLetter"/>
      <w:start w:val="1"/>
    </w:lvl>
    <w:lvl w:ilvl="1">
      <w:lvlJc w:val="left"/>
      <w:lvlText w:val="(%2)"/>
      <w:numFmt w:val="lowerLetter"/>
      <w:start w:val="1"/>
    </w:lvl>
  </w:abstractNum>
  <w:abstractNum w:abstractNumId="69">
    <w:nsid w:val="613EFDC5"/>
    <w:multiLevelType w:val="hybridMultilevel"/>
    <w:lvl w:ilvl="0">
      <w:lvlJc w:val="left"/>
      <w:lvlText w:val="(%1)"/>
      <w:numFmt w:val="lowerLetter"/>
      <w:start w:val="35"/>
    </w:lvl>
    <w:lvl w:ilvl="1">
      <w:lvlJc w:val="left"/>
      <w:lvlText w:val="(%2)"/>
      <w:numFmt w:val="lowerLetter"/>
      <w:start w:val="2"/>
    </w:lvl>
  </w:abstractNum>
  <w:abstractNum w:abstractNumId="70">
    <w:nsid w:val="BF72B14"/>
    <w:multiLevelType w:val="hybridMultilevel"/>
    <w:lvl w:ilvl="0">
      <w:lvlJc w:val="left"/>
      <w:lvlText w:val="(%1)"/>
      <w:numFmt w:val="lowerLetter"/>
      <w:start w:val="5"/>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bullet"/>
      <w:start w:val="1"/>
    </w:lvl>
  </w:abstractNum>
  <w:abstractNum w:abstractNumId="76">
    <w:nsid w:val="3B0FD379"/>
    <w:multiLevelType w:val="hybridMultilevel"/>
    <w:lvl w:ilvl="0">
      <w:lvlJc w:val="left"/>
      <w:lvlText w:val="2"/>
      <w:numFmt w:val="bullet"/>
      <w:start w:val="1"/>
    </w:lvl>
  </w:abstractNum>
  <w:abstractNum w:abstractNumId="77">
    <w:nsid w:val="68EB2F63"/>
    <w:multiLevelType w:val="hybridMultilevel"/>
    <w:lvl w:ilvl="0">
      <w:lvlJc w:val="left"/>
      <w:lvlText w:val="3"/>
      <w:numFmt w:val="bullet"/>
      <w:start w:val="1"/>
    </w:lvl>
  </w:abstractNum>
  <w:abstractNum w:abstractNumId="78">
    <w:nsid w:val="4962813B"/>
    <w:multiLevelType w:val="hybridMultilevel"/>
    <w:lvl w:ilvl="0">
      <w:lvlJc w:val="left"/>
      <w:lvlText w:val="4"/>
      <w:numFmt w:val="bullet"/>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2"/>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jpeg"/><Relationship Id="rId121" Type="http://schemas.openxmlformats.org/officeDocument/2006/relationships/image" Target="media/image111.png"/><Relationship Id="rId122" Type="http://schemas.openxmlformats.org/officeDocument/2006/relationships/image" Target="media/image112.jpeg"/><Relationship Id="rId123" Type="http://schemas.openxmlformats.org/officeDocument/2006/relationships/image" Target="media/image113.png"/><Relationship Id="rId124" Type="http://schemas.openxmlformats.org/officeDocument/2006/relationships/image" Target="media/image114.jpeg"/><Relationship Id="rId125" Type="http://schemas.openxmlformats.org/officeDocument/2006/relationships/image" Target="media/image115.png"/><Relationship Id="rId126" Type="http://schemas.openxmlformats.org/officeDocument/2006/relationships/image" Target="media/image116.jpeg"/><Relationship Id="rId72" Type="http://schemas.openxmlformats.org/officeDocument/2006/relationships/hyperlink" Target="http://www.sec.gov/Archives/edgar/data/1737450/000157104918000397/tv497809_ex3-2.htm" TargetMode="External"/><Relationship Id="rId73" Type="http://schemas.openxmlformats.org/officeDocument/2006/relationships/hyperlink" Target="http://www.sec.gov/Archives/edgar/data/1737450/000114420418036749/tv496863_ex4-2.htm" TargetMode="External"/><Relationship Id="rId74" Type="http://schemas.openxmlformats.org/officeDocument/2006/relationships/hyperlink" Target="http://www.sec.gov/Archives/edgar/data/1737450/000114420418040034/tv499078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2019-12-21T04:02:01Z</dcterms:created>
  <dcterms:modified xsi:type="dcterms:W3CDTF">2019-12-21T04:02:01Z</dcterms:modified>
</cp:coreProperties>
</file>