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280035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292100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25, 2020, the registrant announced its unaudited financial results for the fourth quarter and full year 2019. A copy of the press release issued by the registrant regarding the foregoing is filed herewith as Exhibit 99.1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4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regarding fourth quarter and full year 2019 financial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Chairman of the Board and</w:t>
            </w:r>
          </w:p>
        </w:tc>
      </w:tr>
      <w:tr>
        <w:trPr>
          <w:trHeight w:val="230"/>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ectPr>
          <w:pgSz w:w="11900" w:h="16838" w:orient="portrait"/>
          <w:cols w:equalWidth="0" w:num="1">
            <w:col w:w="10940"/>
          </w:cols>
          <w:pgMar w:left="240" w:top="58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 announces fourth quarter and full-year 2019 financial results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Fourth quarter revenue of $129.6 million, growth accelerating to 158% year-over-year; exceeding the top end of Opera’s guidance range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Opera’s total user base grew 5% year-over-year to 355 million monthly active users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Fintech continued to grow; fourth quarter revenue of $71.9 million, up 80% versus the prior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New initiatives progressing -- OList conducted first real estate / rental transactions; Opera News Hub driving increased engagement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quarter adjusted EBITDA of $20.2 million, representing margin expansion versus the prior quarter and above guidance range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quarter net income of $22.0 million</w:t>
      </w:r>
    </w:p>
    <w:p>
      <w:pPr>
        <w:spacing w:after="0" w:line="9" w:lineRule="exact"/>
        <w:rPr>
          <w:rFonts w:ascii="Arial" w:cs="Arial" w:eastAsia="Arial" w:hAnsi="Arial"/>
          <w:sz w:val="18"/>
          <w:szCs w:val="18"/>
          <w:color w:val="auto"/>
        </w:rPr>
      </w:pPr>
    </w:p>
    <w:p>
      <w:pPr>
        <w:ind w:left="660" w:righ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Introducing 2020 revenue guidance range of $530 to $560 million, representing 63% growth at the midpoint versus 2019; and 2020 adjusted EBITDA of $70 to $80 million</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Oslo, Norway, February 25, 2020 – Opera Limited (NASDAQ: OPRA), one of the world’s major browser developers and a leading internet consumer brand, today announced its unaudited consolidated financial results for the quarter and full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2019 financial highlights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Three Months Ended December</w:t>
            </w:r>
          </w:p>
        </w:tc>
        <w:tc>
          <w:tcPr>
            <w:tcW w:w="1380" w:type="dxa"/>
            <w:vAlign w:val="bottom"/>
          </w:tcPr>
          <w:p>
            <w:pPr>
              <w:spacing w:after="0"/>
              <w:rPr>
                <w:sz w:val="18"/>
                <w:szCs w:val="18"/>
                <w:color w:val="auto"/>
              </w:rPr>
            </w:pPr>
          </w:p>
        </w:tc>
        <w:tc>
          <w:tcPr>
            <w:tcW w:w="28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Twelve Months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Year-over-</w:t>
            </w:r>
          </w:p>
        </w:tc>
        <w:tc>
          <w:tcPr>
            <w:tcW w:w="184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90"/>
              </w:rPr>
              <w:t>December 31,</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Year-over-</w:t>
            </w:r>
          </w:p>
        </w:tc>
        <w:tc>
          <w:tcPr>
            <w:tcW w:w="0" w:type="dxa"/>
            <w:vAlign w:val="bottom"/>
          </w:tcPr>
          <w:p>
            <w:pPr>
              <w:spacing w:after="0"/>
              <w:rPr>
                <w:sz w:val="1"/>
                <w:szCs w:val="1"/>
                <w:color w:val="auto"/>
              </w:rPr>
            </w:pPr>
          </w:p>
        </w:tc>
      </w:tr>
      <w:tr>
        <w:trPr>
          <w:trHeight w:val="191"/>
        </w:trPr>
        <w:tc>
          <w:tcPr>
            <w:tcW w:w="3180" w:type="dxa"/>
            <w:vAlign w:val="bottom"/>
            <w:gridSpan w:val="2"/>
          </w:tcPr>
          <w:p>
            <w:pPr>
              <w:spacing w:after="0" w:line="191" w:lineRule="exact"/>
              <w:rPr>
                <w:sz w:val="20"/>
                <w:szCs w:val="20"/>
                <w:color w:val="auto"/>
              </w:rPr>
            </w:pPr>
            <w:r>
              <w:rPr>
                <w:rFonts w:ascii="Arial" w:cs="Arial" w:eastAsia="Arial" w:hAnsi="Arial"/>
                <w:sz w:val="18"/>
                <w:szCs w:val="18"/>
                <w:color w:val="auto"/>
                <w:w w:val="98"/>
              </w:rPr>
              <w:t>[US$ thousands, except for margins and</w:t>
            </w: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6"/>
              </w:rPr>
              <w:t>year %</w:t>
            </w: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6"/>
              </w:rPr>
              <w:t>year %</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Arial" w:cs="Arial" w:eastAsia="Arial" w:hAnsi="Arial"/>
                <w:sz w:val="18"/>
                <w:szCs w:val="18"/>
                <w:color w:val="auto"/>
              </w:rPr>
              <w:t>per ADS amounts]</w:t>
            </w: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change</w:t>
            </w: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9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50,207</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129,609</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172,276</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334,855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11,412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21,973</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92.6%</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35,160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22.7%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38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5"/>
                <w:szCs w:val="25"/>
                <w:color w:val="auto"/>
                <w:vertAlign w:val="superscript"/>
              </w:rPr>
              <w:t>(1)</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17,511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20,218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65,794</w:t>
            </w:r>
          </w:p>
        </w:tc>
        <w:tc>
          <w:tcPr>
            <w:tcW w:w="3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45,523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Margin</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5"/>
                <w:szCs w:val="25"/>
                <w:color w:val="auto"/>
                <w:vertAlign w:val="superscript"/>
              </w:rPr>
              <w:t>(1)</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12,983</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24,446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46,136</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25.9%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38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Diluted net income per ADS, US$</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0.10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0.34</w:t>
            </w:r>
          </w:p>
        </w:tc>
        <w:tc>
          <w:tcPr>
            <w:tcW w:w="3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Diluted adjusted net income per ADS,</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30"/>
                <w:szCs w:val="30"/>
                <w:color w:val="auto"/>
                <w:vertAlign w:val="superscript"/>
              </w:rPr>
              <w:t>(1)</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0.12</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0.59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ind w:left="220" w:hanging="212"/>
        <w:spacing w:after="0" w:line="215" w:lineRule="auto"/>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Please see the separate section "About non-IFRS financial measures" for the definitions of adjusted EBITDA and adjusted net income.</w:t>
      </w:r>
    </w:p>
    <w:p>
      <w:pPr>
        <w:spacing w:after="0" w:line="200" w:lineRule="exact"/>
        <w:rPr>
          <w:sz w:val="20"/>
          <w:szCs w:val="20"/>
          <w:color w:val="auto"/>
        </w:rPr>
      </w:pP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Frode Jacobsen, Opera’s CFO, said, “We are pleased with our fourth quarter results, which delivered accelerated revenue growth of 158% year-over-year and concluded a very strong year. One year ago, we guided 2019 revenue of $220-230 million, but also shared our excitement about the multiple growth initiatives we were starting to accelerate beyond this. Today we announce full-year results that include over $100 million of revenue above the top of our initial range, and an acceleration of our full-year growth trajectory from 34% in 2018 to 94% in 2019.</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“Further, we continue to deliver strong adjusted EBITDA and net income margins, while investing aggressively in existing and future growth initiatives. We are indeed proud of our financial results in 2019, and more importantly, we demonstrated our ability to leverage our brand, user base and technology to rapidly launch and scale new businesses on top of our browser heritage.”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Commentary from Chairman and CEO</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“2019 was a very strong year for our company, and a year that reinforced my confidence that Opera is both an attractive existing business, and a strong platform from which to launch innovative digital services into our core markets,” said Yahui Zhou, Opera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97" w:lineRule="auto"/>
        <w:rPr>
          <w:sz w:val="20"/>
          <w:szCs w:val="20"/>
          <w:color w:val="auto"/>
        </w:rPr>
      </w:pPr>
      <w:r>
        <w:rPr>
          <w:rFonts w:ascii="Arial" w:cs="Arial" w:eastAsia="Arial" w:hAnsi="Arial"/>
          <w:sz w:val="16"/>
          <w:szCs w:val="16"/>
          <w:color w:val="auto"/>
        </w:rPr>
        <w:t>“We have scaled Opera News to a leading position in our key regions and continue to improve this service to make it increasingly engaging. OList, our new classifieds service, has scaled very well and we believe this will be a gateway to transforming many of the underlying verticals, including the rental market in Nigeria. We want to help accelerate the transition from limited information and inefficient value chains to transparent and efficient marketplaces, starting with real estate. Finally, OKash has proven to be an attractive digital financing offering, with strong user ratings and significant number of returning users. This business is demonstrating unparalleled growth rates and we are beginning to expand to payments and marketplace offerings.</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you may know, there has been published speculation around our business by a short seller. The most effective rebuttal is continued execution and growth, which is what we again achieved this past quarter, and to continue building on our strong base and momentum, which also underpins our 2020 guidance.</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to being Opera’s Chairman and CEO, I am also the company’s largest investor. I appreciate the enthusiasm and support from our investors that have invested along with me. I believe that the true value of Opera’s strong brand and user base are somewhat obscured from view to the investor community</w:t>
      </w:r>
    </w:p>
    <w:p>
      <w:pPr>
        <w:jc w:val="both"/>
        <w:ind w:right="100" w:firstLine="8"/>
        <w:spacing w:after="0" w:line="254"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part because of Opera’s geographic focus. Opera is a major consumer internet company in emerging markets, and in particular on the African continent, and in addition has a very engaged European user base. In many markets Opera is a household name, and that is an asset that we will continue investing in, and building upon. We believe that as we continue to execute, Opera, and the potential that exists in our markets, will gain more investor awareness, whether in the US, Europe, China or elsewhere.</w:t>
      </w:r>
    </w:p>
    <w:p>
      <w:pPr>
        <w:spacing w:after="0" w:line="1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 am proud of our truly global team at Opera, and I am very excited as I look into 2020. Our company is on track to deliver another year of significant revenue growth and expanding profitability in the year ahead as we continue our strategy to build and grow our ecosystem.”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2019 user base and product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are relative to the fourth quarter of 2018 unless otherwise stated)</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 News average Monthly Active Users (“MAUs”) grew 21% to 163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 News app increased to 39 million average MAUs, up 97%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smartphone average MAUs grew 9% to 227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PC average MAUs grew 11% to 68 million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Song Lin, Opera’s COO, said, “The progress we made throughout 2019, with continued product innovation, aggressive investments in new initiatives, and our monetization efforts, has positioned us on a very strong trajectory entering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right="20"/>
        <w:spacing w:after="0" w:line="297" w:lineRule="auto"/>
        <w:rPr>
          <w:sz w:val="20"/>
          <w:szCs w:val="20"/>
          <w:color w:val="auto"/>
        </w:rPr>
      </w:pPr>
      <w:r>
        <w:rPr>
          <w:rFonts w:ascii="Arial" w:cs="Arial" w:eastAsia="Arial" w:hAnsi="Arial"/>
          <w:sz w:val="16"/>
          <w:szCs w:val="16"/>
          <w:color w:val="auto"/>
        </w:rPr>
        <w:t>“Starting with our browser, we continued to grow revenues nicely in the fourth quarter. This was driven by 11% user growth in PC browsers where our new gaming browser, Opera GX, has been well received by the market. Geographically, we also see growth in our key European markets. On the mobile side, we have been increasing our emphasis on Africa which includes building on our value propositions around data management. We recently launched data plans in Nigeria, where we partnered with leading telcos to provide targeted data plans to consumers that are economically attractive for both Opera and our partner operators. Early results have been promising and we will be scaling these efforts and working with more telcos across Africa in the next several quarters.</w:t>
      </w:r>
    </w:p>
    <w:p>
      <w:pPr>
        <w:spacing w:after="0" w:line="15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“Opera News monthly active users grew 21% year-over-year and our app almost doubled users over the same period. On engagement, we are making significant progress with average daily time spent and average daily article clicks, increasing by 24% and 20%, respectively, from January 2019 to January 2020. We believe Opera News Hub has been a big driver of this success, and we plan to expand beyond Nigeria into four additional countries. Additionally, monetization of our news app increased 21% versus the third quarter, and we have significant upside with additional formats and increased ad load.</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“OList, our classifieds offering, was successfully launched in 2019 and has scaled nicely. We believe there is a large opportunity to provide deeper experiences in several verticals, including real estate, and to participate in those transactions. We believe this represents a large growth opportunity and importantly will provide meaningful benefits to our users in their everyday lives. Further, while our efforts are still early, we’ve recently completed our first real estate/rental transactions, which was a great initial step.</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“European fintech also represents a significant opportunity -- one where we will be able to provide our European user base of more than 50 million users with new products around payment and open banking. Our first step was the acquisition of fintech startup Pocosys last month, which provided us with a strong team and good technology. We will be testing our initial products in one market later this year, and then rolling out more products and to more geographies over the long term.</w:t>
      </w:r>
    </w:p>
    <w:p>
      <w:pPr>
        <w:spacing w:after="0" w:line="18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“Finally, fintech continues to perform very well in South Asia and Africa. In the fourth quarter, our business grew 80% versus the prior quarter to $71.9 million. This was driven by strong loan growth and increasing value per loan. Additionally, we saw a decreasing number of non-performing loans. Importantly, our products continue to be well-received by consumers as evidenced by good ratings in the Google Play app store and the large number of returning users. We are seeing strong growth thus far in 2020, and plan to launch in additional markets. Our efforts have enabled us to drive significant engagement with consumers and we’re excited to be expanding our offerings to provide payment and marketplace products to millions of active users who logged into our online wallet/app during the fourth quarter of 2019. We expect these efforts will increase user engagement and create revenue-generating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Mr. Frode Jacobsen, Opera’s CFO, said, “We anticipate that 2020 will be another year of strong growth for Opera with both revenues and adjusted EBITDA expected to show meaningful growth over 2019. At the same, we will continue to invest heavily to position our company for long-term growth and continued profitability expansion. This includes significant incremental investments in new initiatives such as OList and European Fintech, where our investments are included in our bottom line outlook while we’ve taken a conservative approach to 2020 revenue contributions. We believe our current trajectory along with our new initiatives have the potential to materially grow our revenues and profits well beyond 2020 levels.”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a result, Opera expects first quarter and full year 2020 revenue and adjusted EBITDA to be in the following ranges: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 of $123 - $133 million, or 147% - 167% growth versus the first quarter of 2019, primarily driven by fintech and advertising revenue.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$11 - $14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27" w:lineRule="exact"/>
        <w:rPr>
          <w:sz w:val="20"/>
          <w:szCs w:val="20"/>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$530 - $560 million, or 58% - 67% growth year-over-year. This will include continued fintech, search and advertising growth, but a decline of approximately $20 million from retail and technology revenues. It will also include roughly $10 million in revenue from new products and initiatives.</w:t>
      </w:r>
    </w:p>
    <w:p>
      <w:pPr>
        <w:spacing w:after="0" w:line="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of $70 - $80 million, representing 54% - 76% growth year-over-year. This includes roughly $30 million in investments relating to new initiatives, increased cost of revenue due to microlending scaling and Opera News Hub, and slightly higher absolute marketing investment primarily related to new microlending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2019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the fourth quarter of 2018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158% to $129.6 million.</w:t>
      </w:r>
    </w:p>
    <w:p>
      <w:pPr>
        <w:spacing w:after="0" w:line="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Search revenue increased 7% to $22.6 million, primarily due to browser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Advertising revenue increased 27% to $20.2 million, due to an increase in both smartphone and PC users and continued monetization improvements.</w:t>
      </w:r>
    </w:p>
    <w:p>
      <w:pPr>
        <w:spacing w:after="0" w:line="32" w:lineRule="exact"/>
        <w:rPr>
          <w:rFonts w:ascii="Arial" w:cs="Arial" w:eastAsia="Arial" w:hAnsi="Arial"/>
          <w:sz w:val="16"/>
          <w:szCs w:val="16"/>
          <w:color w:val="auto"/>
        </w:rPr>
      </w:pPr>
    </w:p>
    <w:p>
      <w:pPr>
        <w:ind w:left="660" w:right="4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Fintech revenue was $71.9 million, up 80% versus the third quarter due to continued strong growth. This compares to $1.7 million in the fourth quarter of 2018.</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revenue was $9.3 million.</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licensing and other revenue was $5.5 million. As expected, this decreased compared to the third quarter due to lower non-recurring revenue relating to investee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$116.9 million.</w:t>
      </w:r>
    </w:p>
    <w:p>
      <w:pPr>
        <w:spacing w:after="0" w:line="27" w:lineRule="exact"/>
        <w:rPr>
          <w:sz w:val="20"/>
          <w:szCs w:val="20"/>
          <w:color w:val="auto"/>
        </w:rPr>
      </w:pPr>
    </w:p>
    <w:p>
      <w:pPr>
        <w:jc w:val="both"/>
        <w:ind w:left="660" w:right="32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of revenue was $32.7 million. Within our total cost of revenue, $18.9 million related to microlending revenue, $9.4 million related to retail revenue, and $1.0 million related to the browser and news business area. This also included $3.3 million related to other revenue, predominantly consisting of personnel expenses incurred on behalf of investees that were formerly reported under general operating expenses.</w:t>
      </w:r>
    </w:p>
    <w:p>
      <w:pPr>
        <w:spacing w:after="0" w:line="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expenses, including share-based remuneration, were $22.6 million, representing a 109% increase. This expense consists of cash-based compensation expense of $21.1 million, and share-based remuneration expense of $1.5 million. The increase was driven mainly by the growth in our fintech business as well as by other new initiatives including OList and Opera Ads as well as Opera News.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and distribution expenses were $17.5 million, representing an increase of 102% following our previously announced efforts to further invest in accelerating our growth in 2019.</w:t>
      </w:r>
    </w:p>
    <w:p>
      <w:pPr>
        <w:ind w:left="660" w:right="4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loss expense was $27.6 million, including $27.4 million related to microlending and $0.2 million within the browser and news segment. Credit loss fell over 200 basis points to 5.5% of loans disbursed, compared to the third quarter of 2019.</w:t>
      </w:r>
    </w:p>
    <w:p>
      <w:pPr>
        <w:ind w:left="660" w:right="1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expenses were $6.0 million, representing a 109% increase. The increase is largely the result of the adoption of IFRS 16 on January 1, 2019.</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operating expenses were $10.5 million, representing a 61% increase.</w:t>
      </w:r>
    </w:p>
    <w:p>
      <w:pPr>
        <w:spacing w:after="0" w:line="234"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Operating profit </w:t>
      </w:r>
      <w:r>
        <w:rPr>
          <w:rFonts w:ascii="Arial" w:cs="Arial" w:eastAsia="Arial" w:hAnsi="Arial"/>
          <w:sz w:val="16"/>
          <w:szCs w:val="16"/>
          <w:color w:val="auto"/>
        </w:rPr>
        <w:t>was $12.7 million, representing an operating margin of 10%, compared to $13.2 million and a 26% margin in the year-ago quarter.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decline was largely due to the increased investment in marketing and distribution activities and increased headcount associated with our growth initiatives.</w:t>
      </w:r>
    </w:p>
    <w:p>
      <w:pPr>
        <w:spacing w:after="0" w:line="11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Share of net income of associates and joint ventures </w:t>
      </w:r>
      <w:r>
        <w:rPr>
          <w:rFonts w:ascii="Arial" w:cs="Arial" w:eastAsia="Arial" w:hAnsi="Arial"/>
          <w:sz w:val="18"/>
          <w:szCs w:val="18"/>
          <w:color w:val="auto"/>
        </w:rPr>
        <w:t>amounted to $7.8 million, including non-cash gains from increased OPay and Starmaker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assessments conducted by an independent party at year-end.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was $4.6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$22.0 million, compared to $11.4 million in the fourth quarter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$0.19 in the quarter and $0.18 on a diluted basis.</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Adjusted net income per ADS </w:t>
      </w:r>
      <w:r>
        <w:rPr>
          <w:rFonts w:ascii="Arial" w:cs="Arial" w:eastAsia="Arial" w:hAnsi="Arial"/>
          <w:sz w:val="18"/>
          <w:szCs w:val="18"/>
          <w:color w:val="auto"/>
        </w:rPr>
        <w:t>was $0.21 in the quarter, and $0.20 on a diluted basis. Each ADS represents two shares in Opera Limited. In the quarter,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number of shares outstanding was 237.4 million, corresponding to 118.7 million ADSs. The increase in adjusted net income per ADS compared to the third quarter was driven by a full-quarter impact of our September 2019 secondary offering.</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$20.2 million, representing a 16% adjusted EBITDA margin, compared to $17.5 million in the fourth quarter of 2018.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 excludes share-based remuneration.</w:t>
      </w:r>
    </w:p>
    <w:p>
      <w:pPr>
        <w:spacing w:after="0" w:line="162"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17"/>
          <w:szCs w:val="17"/>
          <w:color w:val="auto"/>
        </w:rPr>
        <w:t>was $24.4 million in the quarter, representing a 19% adjusted net margin, compared to $13.0 million in the fourth quarter of 2018.</w:t>
      </w:r>
      <w:r>
        <w:rPr>
          <w:rFonts w:ascii="Arial" w:cs="Arial" w:eastAsia="Arial" w:hAnsi="Arial"/>
          <w:sz w:val="17"/>
          <w:szCs w:val="17"/>
          <w:b w:val="1"/>
          <w:bCs w:val="1"/>
          <w:color w:val="auto"/>
        </w:rPr>
        <w:t xml:space="preserve"> </w:t>
      </w:r>
      <w:r>
        <w:rPr>
          <w:rFonts w:ascii="Arial" w:cs="Arial" w:eastAsia="Arial" w:hAnsi="Arial"/>
          <w:sz w:val="17"/>
          <w:szCs w:val="17"/>
          <w:color w:val="auto"/>
        </w:rPr>
        <w:t>Adjusted net income excludes share-based remuneration and amortization of intangible assets related to acquisitions (all of which relates to the Opera privatization in 2016). Adjusted net income includes partially offsetting reversals of the tax impacts of the foregoing adjustments.</w:t>
      </w:r>
    </w:p>
    <w:p>
      <w:pPr>
        <w:spacing w:after="0" w:line="1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greater details on adjusted EBITDA and adjusted net income, including the most directly comparable IFRS measures, please see “About non-IFRS financial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Commentary on Misleading and Incorrect Recent Speculation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Opera issued the following statement on allegations contained in a report (the “Report”), which was made public on January 16, 2020 by a short seller firm.</w:t>
      </w:r>
    </w:p>
    <w:p>
      <w:pPr>
        <w:spacing w:after="0" w:line="24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believes that the report contains numerous errors, unsubstantiated statements, and misleading conclusions and interpretations regarding the business of and events relating to the Company. The Company has recently launched and scaled multiple new businesses and has continued to post strong financial results, and intends to continue leveraging its well-known brand and large user base of more than 350 million users for additional growth. The Company also remains committed to maintaining high standards of corporate governance and constantly evolving our products, practices and governance.”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 highlight the misleading nature of the Report, we would like to provide a summary of relevant facts for our investors:</w:t>
      </w:r>
    </w:p>
    <w:p>
      <w:pPr>
        <w:spacing w:after="0" w:line="225" w:lineRule="exact"/>
        <w:rPr>
          <w:sz w:val="20"/>
          <w:szCs w:val="20"/>
          <w:color w:val="auto"/>
        </w:rPr>
      </w:pPr>
    </w:p>
    <w:p>
      <w:pPr>
        <w:ind w:left="660" w:right="10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Opera’s microlending products have been and continue to be well received by users in emerging markets, and the OKash app has an average rating of 4.2 out of 5 stars in the Google Play app store in Kenya with more than 71,000 reviews. Further, Opera lending products have been reviewed and continue to be approved by Google Play.</w:t>
      </w: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 has a significant focus on corporate governance matters. This includes an independent audit committee which reviews any related party transaction and independent auditors based in Norway. The Report incorrectly paints a story of improper financial gain and references three transactions -- the OKash acquisition, our Starmaker investment, and our collaboration for increased distribution scale with 360 Mobile Security. All three transactions were reviewed by our audit committee and are rational in nature. Further, no individual at Opera, including our Chairman, has received any payment or direct benefit from these transactions.</w:t>
      </w:r>
    </w:p>
    <w:p>
      <w:pPr>
        <w:spacing w:after="0" w:line="2"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short report states that Opera’s browser business has lost market share since the IPO, but fails to recognize the fact that Opera has grown significantly both in number of users and revenue since the IPO.</w:t>
      </w:r>
    </w:p>
    <w:p>
      <w:pPr>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blatantly mischaracterizes Opera’s operating cash flow by attempting to link additional investment in browser marketing to negative cash flow in the twelve months ending September 30, 2019 (Q4 2018 to Q3 2019). This analysis completely misses the fact that Opera’s net loan book grew by $52 million over the same period. Excluding the impact from a fast growing lending business, Opera’s operating cash flow would be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Opera’s management team will host a conference call from San Francisco at 8:00 AM U.S. Eastern Time (2:00 PM Central European Time, 9:00 PM Beijing/Hong Kong time) on Tuesday, February 25,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dial-in details for the live conference call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(877) 506-7703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+86 400 682 8609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+852 5819 4851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+47 239 64173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(0)203 107 0289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(786) 815-8450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7235635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posted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To supplement our consolidated financial statements, which are prepared and presented based on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define adjusted EBITDA as net income (loss) excluding income tax expense (benefit), net finance expense (income), share of net loss (income) of associates and joint ventures, restructuring costs, depreciation and amortization, share-based remuneration and expensed costs related to our recent initial public offering.</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define adjusted net income as net income excluding share-based remuneration, amortization of acquired intangible assets, and expensed costs related to our recent initial public offering.</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adjusted EBITDA and adjusted net income provides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the Business outlook section contain forward-looking statements. These forward-looking statements involve known and unknown risks and uncertainties and are based on current expectations, assumptions, estimates and projections about Opera and the industry. Potential risks and uncertainties include, but are not limited to, those relating to its goals and strategies; its expected development and launch, and market acceptance, of its products and services; its expectations regarding demand for and market acceptance of our brand, platforms and services; our expectations regarding growth in our user base and level of engagement; its ability to attract, retain and monetize users; its ability to continue to develop new technologies and/or upgrade our existing technologies and quarterly variations in its operating results caused by factors beyond its control and global macroeconomic conditions and its potential impact in the markets it has businesses.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annual report on Form 20-F.</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 is a leading global internet brand with an engaged and growing base of over 350 million average monthly active users. Building on over 20 years of innovation, starting with our browser products, we are increasingly leveraging our brand as well as our massive and highly active user base in order to expand our offerings and our business. Today, we offer users across Europe, Africa and Asia a range of products and services that include our PC and mobile browsers as well as our AI-powered news reader Opera News and our app-based microfinance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(408) 596-3055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6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thousands, except per share and ADS amounts]</w:t>
            </w: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50,207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(8,144)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(32,650)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(20,009)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(10,807)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(22,585)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(34,683)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(8,652)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(17,540)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(31,381)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(2,876)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(12,694)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(10,486)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(28,359)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(116,865)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(126,975)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(314,192)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13,215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45,301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7,829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finance income (expense)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Finance expense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(1,565)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(1,695)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(loss)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finance income (expense)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6,028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12,099</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26,601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41,641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11,412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21,973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35,160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income (loss) attributable to:</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income (loss) attributed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11,412</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21,973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57,899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line="216" w:lineRule="exact"/>
              <w:rPr>
                <w:sz w:val="20"/>
                <w:szCs w:val="20"/>
                <w:color w:val="auto"/>
              </w:rPr>
            </w:pPr>
            <w:r>
              <w:rPr>
                <w:rFonts w:ascii="Arial" w:cs="Arial" w:eastAsia="Arial" w:hAnsi="Arial"/>
                <w:sz w:val="16"/>
                <w:szCs w:val="16"/>
                <w:color w:val="auto"/>
              </w:rPr>
              <w:t>Basic, millions</w:t>
            </w:r>
            <w:r>
              <w:rPr>
                <w:rFonts w:ascii="Arial" w:cs="Arial" w:eastAsia="Arial" w:hAnsi="Arial"/>
                <w:sz w:val="25"/>
                <w:szCs w:val="25"/>
                <w:color w:val="auto"/>
                <w:vertAlign w:val="superscript"/>
              </w:rPr>
              <w:t>(1)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219.59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237.44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Diluted, millions</w:t>
            </w:r>
            <w:r>
              <w:rPr>
                <w:rFonts w:ascii="Arial" w:cs="Arial" w:eastAsia="Arial" w:hAnsi="Arial"/>
                <w:sz w:val="25"/>
                <w:szCs w:val="25"/>
                <w:color w:val="auto"/>
                <w:vertAlign w:val="superscript"/>
              </w:rPr>
              <w:t>(2)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226.14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ordinary share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ADS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8"/>
        <w:spacing w:after="0" w:line="238" w:lineRule="auto"/>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Assuming 200 million shares in Opera Limited were outstanding for all periods presented prior to the Initial Public Offering (IPO), less 9.75 million shares that were surrendered by two shareholders upon completion of the IPO. As of December 31, 2019, the total number of shares outstanding for Opera Limited was 237,826,326, equivalent to 118,913,163 ADSs.</w:t>
      </w:r>
    </w:p>
    <w:p>
      <w:pPr>
        <w:spacing w:after="0" w:line="134" w:lineRule="exact"/>
        <w:rPr>
          <w:rFonts w:ascii="Arial" w:cs="Arial" w:eastAsia="Arial" w:hAnsi="Arial"/>
          <w:sz w:val="26"/>
          <w:szCs w:val="26"/>
          <w:color w:val="auto"/>
          <w:vertAlign w:val="superscript"/>
        </w:rPr>
      </w:pPr>
    </w:p>
    <w:p>
      <w:pPr>
        <w:ind w:left="220" w:hanging="212"/>
        <w:spacing w:after="0"/>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Includes the net dilutive impact of employee equity awards, all of which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COMPREHENSIVE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Three Months Ended December</w:t>
            </w:r>
          </w:p>
        </w:tc>
        <w:tc>
          <w:tcPr>
            <w:tcW w:w="26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11,412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21,973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Other comprehensive income (loss) that may be reclassified to the Statement</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 Operations in subsequent periods (net of tax)</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(1,245)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exchange differences on loss of control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8"/>
              </w:rPr>
              <w:t>Share of other comprehensive income (loss) of associates and joint ventures</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other comprehensive income (loss) that may be reclassified to the</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w:t>
            </w: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301</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(1,289)</w:t>
            </w:r>
          </w:p>
        </w:tc>
        <w:tc>
          <w:tcPr>
            <w:tcW w:w="1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in subsequent periods</w:t>
            </w:r>
          </w:p>
        </w:tc>
        <w:tc>
          <w:tcPr>
            <w:tcW w:w="140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11,370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22,274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33,871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income (loss) attributable to:</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attributed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22,274</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56,075</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FINANCIAL POSITION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As of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December 31,</w:t>
            </w: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115,444</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421,578</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Investments in associates and joint ventures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35,060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financial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587,213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642,293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Trade receivables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37,468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Loans to customers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receivables</w:t>
            </w:r>
          </w:p>
        </w:tc>
        <w:tc>
          <w:tcPr>
            <w:tcW w:w="1500" w:type="dxa"/>
            <w:vAlign w:val="bottom"/>
          </w:tcPr>
          <w:p>
            <w:pPr>
              <w:jc w:val="right"/>
              <w:spacing w:after="0"/>
              <w:rPr>
                <w:sz w:val="20"/>
                <w:szCs w:val="20"/>
                <w:color w:val="auto"/>
              </w:rPr>
            </w:pPr>
            <w:r>
              <w:rPr>
                <w:rFonts w:ascii="Arial" w:cs="Arial" w:eastAsia="Arial" w:hAnsi="Arial"/>
                <w:sz w:val="18"/>
                <w:szCs w:val="18"/>
                <w:color w:val="auto"/>
              </w:rPr>
              <w:t>4,031</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Inventories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financial assets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177,873</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179,038</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238,090</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418,327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825,303</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1,060,620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paid in capital</w:t>
            </w:r>
          </w:p>
        </w:tc>
        <w:tc>
          <w:tcPr>
            <w:tcW w:w="1500" w:type="dxa"/>
            <w:vAlign w:val="bottom"/>
          </w:tcPr>
          <w:p>
            <w:pPr>
              <w:jc w:val="right"/>
              <w:spacing w:after="0"/>
              <w:rPr>
                <w:sz w:val="20"/>
                <w:szCs w:val="20"/>
                <w:color w:val="auto"/>
              </w:rPr>
            </w:pPr>
            <w:r>
              <w:rPr>
                <w:rFonts w:ascii="Arial" w:cs="Arial" w:eastAsia="Arial" w:hAnsi="Arial"/>
                <w:sz w:val="18"/>
                <w:szCs w:val="18"/>
                <w:color w:val="auto"/>
              </w:rPr>
              <w:t>738,690</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36,432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150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attributed to equity holders of the parent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775,460</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912,206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775,460</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912,206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Non-current lease liabilities and other loans</w:t>
            </w:r>
          </w:p>
        </w:tc>
        <w:tc>
          <w:tcPr>
            <w:tcW w:w="1500" w:type="dxa"/>
            <w:vAlign w:val="bottom"/>
          </w:tcPr>
          <w:p>
            <w:pPr>
              <w:jc w:val="right"/>
              <w:spacing w:after="0"/>
              <w:rPr>
                <w:sz w:val="20"/>
                <w:szCs w:val="20"/>
                <w:color w:val="auto"/>
              </w:rPr>
            </w:pPr>
            <w:r>
              <w:rPr>
                <w:rFonts w:ascii="Arial" w:cs="Arial" w:eastAsia="Arial" w:hAnsi="Arial"/>
                <w:sz w:val="18"/>
                <w:szCs w:val="18"/>
                <w:color w:val="auto"/>
              </w:rPr>
              <w:t>2,271</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15,841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17,957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 and other loans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Income tax payable</w:t>
            </w:r>
          </w:p>
        </w:tc>
        <w:tc>
          <w:tcPr>
            <w:tcW w:w="1500" w:type="dxa"/>
            <w:vAlign w:val="bottom"/>
          </w:tcPr>
          <w:p>
            <w:pPr>
              <w:jc w:val="right"/>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34,002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49,843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15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825,303</w:t>
            </w:r>
          </w:p>
        </w:tc>
        <w:tc>
          <w:tcPr>
            <w:tcW w:w="220" w:type="dxa"/>
            <w:vAlign w:val="bottom"/>
          </w:tcPr>
          <w:p>
            <w:pPr>
              <w:spacing w:after="0"/>
              <w:rPr>
                <w:sz w:val="17"/>
                <w:szCs w:val="17"/>
                <w:color w:val="auto"/>
              </w:rPr>
            </w:pPr>
          </w:p>
        </w:tc>
        <w:tc>
          <w:tcPr>
            <w:tcW w:w="158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1,060,620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Share capital</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Other paid in</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6"/>
              </w:rPr>
              <w:t xml:space="preserve">capital </w:t>
            </w:r>
            <w:r>
              <w:rPr>
                <w:rFonts w:ascii="Arial" w:cs="Arial" w:eastAsia="Arial" w:hAnsi="Arial"/>
                <w:sz w:val="26"/>
                <w:szCs w:val="26"/>
                <w:b w:val="1"/>
                <w:bCs w:val="1"/>
                <w:color w:val="auto"/>
                <w:w w:val="96"/>
                <w:vertAlign w:val="superscript"/>
              </w:rPr>
              <w:t>(1)</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 as previously reported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576,512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583,503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Impact of new accounting standards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2018, restated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576,512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582,874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35,160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35,160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with entity under common control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Acquisition of treasury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(4,875)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equity, net of transaction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167,053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remuneration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6,439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738,690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775,460</w:t>
            </w: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Share capital</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Other paid in</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6"/>
              </w:rPr>
              <w:t xml:space="preserve">capital </w:t>
            </w:r>
            <w:r>
              <w:rPr>
                <w:rFonts w:ascii="Arial" w:cs="Arial" w:eastAsia="Arial" w:hAnsi="Arial"/>
                <w:sz w:val="26"/>
                <w:szCs w:val="26"/>
                <w:b w:val="1"/>
                <w:bCs w:val="1"/>
                <w:color w:val="auto"/>
                <w:w w:val="96"/>
                <w:vertAlign w:val="superscript"/>
              </w:rPr>
              <w:t>(1)</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Total 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738,690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775,460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 xml:space="preserve">Impact of implementing IFRS 16 </w:t>
            </w:r>
            <w:r>
              <w:rPr>
                <w:rFonts w:ascii="Arial" w:cs="Arial" w:eastAsia="Arial" w:hAnsi="Arial"/>
                <w:sz w:val="18"/>
                <w:szCs w:val="18"/>
                <w:i w:val="1"/>
                <w:iCs w:val="1"/>
                <w:color w:val="auto"/>
              </w:rPr>
              <w:t>Leases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2019, restated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738,690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775,524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57,899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57,899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equity, net of transaction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Acquisition of treasury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(5,780)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remuneration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814,177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99,513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912,206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The amounts of share capital and other paid in capital have been amended by reclassifying amounts between the two equity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(used in) operating activities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33,828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flow from (used in) investing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(43,537)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(46,038)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(47,250)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(used in) financing activities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(8,171)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158,946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111,897</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(39,594)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145,524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(38,247)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217,642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170,697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foreign exchange difference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177,873</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139,487</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177,873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139,487</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Financial details by business area</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5"/>
          </w:tcPr>
          <w:p>
            <w:pPr>
              <w:spacing w:after="0"/>
              <w:rPr>
                <w:sz w:val="20"/>
                <w:szCs w:val="20"/>
                <w:color w:val="auto"/>
              </w:rPr>
            </w:pPr>
            <w:r>
              <w:rPr>
                <w:rFonts w:ascii="Arial" w:cs="Arial" w:eastAsia="Arial" w:hAnsi="Arial"/>
                <w:sz w:val="18"/>
                <w:szCs w:val="18"/>
                <w:color w:val="auto"/>
              </w:rPr>
              <w:t>The tables below specify the contribution by each business area:</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2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9"/>
              </w:rPr>
              <w:t>Three months ended December 31, 2018</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Browser and</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News</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21,089</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15,928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50,207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(8,608)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(9,013)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(6,239)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28,004</w:t>
            </w: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33,394</w:t>
            </w: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12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9"/>
              </w:rPr>
              <w:t>Three months ended December 31, 2019</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Browser and</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News</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22,641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20,164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71,907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42,805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71,907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9,331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5,567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129,609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gridSpan w:val="2"/>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(1,030)</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(18,889)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(9,412)</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(13,148)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(4,392)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(27,356)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(27,605)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(14,428)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(50,637)</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(9,412)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(3,319)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(77,796)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28,377</w:t>
            </w: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21,270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2,248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51,814</w:t>
            </w: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12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8"/>
              </w:rPr>
              <w:t>Twelve months ended December 31, 2018</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Browser and</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News</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80,204</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22,890</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138,444</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9,287</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22,890</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(3,637)</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(9,096)</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(31,336)</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(34,295)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(9,096)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(6,848)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104,149</w:t>
            </w: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16,042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b w:val="1"/>
                <w:bCs w:val="1"/>
                <w:color w:val="auto"/>
              </w:rPr>
              <w:t>Twelve months ended December 31, 2019</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Browser and</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Business area</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News</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Retail</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280" w:type="dxa"/>
            <w:vAlign w:val="bottom"/>
          </w:tcPr>
          <w:p>
            <w:pPr>
              <w:jc w:val="right"/>
              <w:spacing w:after="0"/>
              <w:rPr>
                <w:sz w:val="20"/>
                <w:szCs w:val="20"/>
                <w:color w:val="auto"/>
              </w:rPr>
            </w:pPr>
            <w:r>
              <w:rPr>
                <w:rFonts w:ascii="Arial" w:cs="Arial" w:eastAsia="Arial" w:hAnsi="Arial"/>
                <w:sz w:val="18"/>
                <w:szCs w:val="18"/>
                <w:color w:val="auto"/>
              </w:rPr>
              <w:t>86,155</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Origination fees and interest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128,373</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Airtime and handsets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29,802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Technology licensing and other revenue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21,712</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154,968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128,373</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29,802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21,712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(29,759)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(29,836)</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(64,685)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(8,464)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(54,879)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(67,776)</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(92,654)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(29,836)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(11,754)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Contribution by business area</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87,192</w:t>
            </w: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35,719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132,835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Personnel expenses including share-based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specifies the amounts of personnel expenses including share-based remuneration: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4"/>
          </w:tcPr>
          <w:p>
            <w:pPr>
              <w:ind w:left="4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60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excluding share-based remuneration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1,419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10,807</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22,585</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34,683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61,029</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9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3"/>
          </w:tcPr>
          <w:p>
            <w:pPr>
              <w:spacing w:after="0"/>
              <w:rPr>
                <w:sz w:val="20"/>
                <w:szCs w:val="20"/>
                <w:color w:val="auto"/>
              </w:rPr>
            </w:pPr>
            <w:r>
              <w:rPr>
                <w:rFonts w:ascii="Arial" w:cs="Arial" w:eastAsia="Arial" w:hAnsi="Arial"/>
                <w:sz w:val="18"/>
                <w:szCs w:val="18"/>
                <w:color w:val="auto"/>
              </w:rPr>
              <w:t>The table below specifies the nature of other expenses: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4"/>
          </w:tcPr>
          <w:p>
            <w:pPr>
              <w:ind w:left="4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260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Hosting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Audit, legal and other advisory services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1,563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Rent and other office expense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1,204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1,453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6,496</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10,486</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28,359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32,210</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9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Non-IFRS financial measures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4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6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080" w:type="dxa"/>
            <w:vAlign w:val="bottom"/>
            <w:gridSpan w:val="4"/>
          </w:tcPr>
          <w:p>
            <w:pPr>
              <w:spacing w:after="0"/>
              <w:rPr>
                <w:sz w:val="20"/>
                <w:szCs w:val="20"/>
                <w:color w:val="auto"/>
              </w:rPr>
            </w:pPr>
            <w:r>
              <w:rPr>
                <w:rFonts w:ascii="Arial" w:cs="Arial" w:eastAsia="Arial" w:hAnsi="Arial"/>
                <w:sz w:val="18"/>
                <w:szCs w:val="18"/>
                <w:color w:val="auto"/>
              </w:rPr>
              <w:t>[US$ thousands, except per share and ADS amounts]</w:t>
            </w: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80" w:type="dxa"/>
            <w:vAlign w:val="bottom"/>
            <w:gridSpan w:val="4"/>
          </w:tcPr>
          <w:p>
            <w:pPr>
              <w:spacing w:after="0" w:line="170" w:lineRule="exact"/>
              <w:rPr>
                <w:sz w:val="20"/>
                <w:szCs w:val="20"/>
                <w:color w:val="auto"/>
              </w:rPr>
            </w:pPr>
            <w:r>
              <w:rPr>
                <w:rFonts w:ascii="Arial" w:cs="Arial" w:eastAsia="Arial" w:hAnsi="Arial"/>
                <w:sz w:val="18"/>
                <w:szCs w:val="18"/>
                <w:color w:val="auto"/>
              </w:rPr>
              <w:t>Reconciliation of net income (loss) to adjusted EBITDA</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11,412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21,973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Income tax expense (benefit)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Net finance expense (income)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Share of net loss (income) of associates and joint ventures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(7,829)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3,248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Share-based remuneration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1,419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Expensed IPO related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17,511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65,794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60" w:type="dxa"/>
            <w:vAlign w:val="bottom"/>
            <w:gridSpan w:val="3"/>
          </w:tcPr>
          <w:p>
            <w:pPr>
              <w:spacing w:after="0" w:line="176" w:lineRule="exact"/>
              <w:rPr>
                <w:sz w:val="20"/>
                <w:szCs w:val="20"/>
                <w:color w:val="auto"/>
              </w:rPr>
            </w:pPr>
            <w:r>
              <w:rPr>
                <w:rFonts w:ascii="Arial" w:cs="Arial" w:eastAsia="Arial" w:hAnsi="Arial"/>
                <w:sz w:val="18"/>
                <w:szCs w:val="18"/>
                <w:color w:val="auto"/>
              </w:rPr>
              <w:t>Reconciliation of net income (loss) to adjusted net income</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11,412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21,973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Share-based remuneration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1,419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Amortization of acquired intangible assets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Add: Expensed IPO related costs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Income tax adjustment </w:t>
            </w:r>
            <w:r>
              <w:rPr>
                <w:rFonts w:ascii="Arial" w:cs="Arial" w:eastAsia="Arial" w:hAnsi="Arial"/>
                <w:sz w:val="25"/>
                <w:szCs w:val="25"/>
                <w:color w:val="auto"/>
                <w:vertAlign w:val="superscript"/>
              </w:rPr>
              <w:t>(1)</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12,983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24,446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46,136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67,635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millions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219.59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Diluted, millions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226.14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241.76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208.73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(loss) per ordinary share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(loss) per ADS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US$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Diluted, US$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8"/>
        <w:spacing w:after="0" w:line="221" w:lineRule="auto"/>
        <w:tabs>
          <w:tab w:leader="none" w:pos="22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Reversal of tax benefit related to the social security cost component of share-based remuneration, deferred taxes on the amortization of acquired intangible assets, and expensed IPO-related costs.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2020-02-25T06:10:57Z</dcterms:created>
  <dcterms:modified xsi:type="dcterms:W3CDTF">2020-02-25T06:10:57Z</dcterms:modified>
</cp:coreProperties>
</file>