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30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Vitaminveien 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Press Release</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August 20, 2020, the registrant announced its unaudited financial results for the second quarter ended June 30, 2020 and the formation of Nanobank. A copy of the press release issued by the registrant regarding the foregoing is filed herewith as Exhibit 99.1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regarding second quarter 2020 financial results and formation of Nanobank.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Yahui Zhou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2020</w:t>
      </w:r>
    </w:p>
    <w:p>
      <w:pPr>
        <w:sectPr>
          <w:pgSz w:w="11900" w:h="16838" w:orient="portrait"/>
          <w:cols w:equalWidth="0" w:num="1">
            <w:col w:w="10920"/>
          </w:cols>
          <w:pgMar w:left="320" w:top="58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 Limited announces second quarter 2020 financial results and formation of Nanobank</w:t>
      </w:r>
    </w:p>
    <w:p>
      <w:pPr>
        <w:spacing w:after="0" w:line="21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Opera’s total user base exceeded 360 million monthly active users in the second quarter and grew to a record 379 million users in July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 News reported record monthly active users of 205 million in the second quarter, up 26%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PC browser users grew to record 75 million monthly active users, up 15% year over year in the second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quarter revenue of $55.4 million; trends improved as the quarter progressed and into the third quarter</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Recovery well underway with search and advertising revenues improving 32% in July from April and microlending loan disbursements growing 82% from June to July</w:t>
      </w:r>
    </w:p>
    <w:p>
      <w:pPr>
        <w:ind w:left="660" w:hanging="328"/>
        <w:spacing w:after="0" w:line="1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Second quarter adjusted EBITDA</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of $2.9 million, and net income of $17.1 million</w:t>
      </w:r>
    </w:p>
    <w:p>
      <w:pPr>
        <w:ind w:left="660" w:right="620" w:hanging="328"/>
        <w:spacing w:after="0" w:line="24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Announcing the formation of Nanobank - the combination of Opera’s microlending business and Mobimagic to create a category leader in emerging market fintech</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European Fintech efforts has acquired first users in Spain, preparing to scale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Song Lin elevated to co-CEO of Opera</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Oslo, Norway, August 20, 2020 – Opera Limited (NASDAQ: OPRA), one of the world’s largest internet consumer brands with over 360 million monthly active users, today announced its unaudited consolidated financial results for the quarter ended June 30, 2020.</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Second quarter 2020 financial highlights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1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Three Months Ended June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Year-over-</w:t>
            </w: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Year-over-</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year %</w:t>
            </w:r>
          </w:p>
        </w:tc>
        <w:tc>
          <w:tcPr>
            <w:tcW w:w="116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year %</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[US$ thousands, except for margins and per ADS amounts]</w:t>
            </w: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61,725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55,434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111,568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193,647</w:t>
            </w:r>
          </w:p>
        </w:tc>
        <w:tc>
          <w:tcPr>
            <w:tcW w:w="116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160" w:type="dxa"/>
            <w:vAlign w:val="bottom"/>
            <w:vMerge w:val="restart"/>
          </w:tcPr>
          <w:p>
            <w:pPr>
              <w:jc w:val="right"/>
              <w:ind w:right="190"/>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400.9%</w:t>
            </w: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color w:val="auto"/>
              </w:rPr>
              <w:t>7,803</w:t>
            </w:r>
          </w:p>
        </w:tc>
        <w:tc>
          <w:tcPr>
            <w:tcW w:w="120" w:type="dxa"/>
            <w:vAlign w:val="bottom"/>
            <w:vMerge w:val="restart"/>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02"/>
        </w:trPr>
        <w:tc>
          <w:tcPr>
            <w:tcW w:w="44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17,141</w:t>
            </w: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(3,722)</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2,916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12,657</w:t>
            </w:r>
          </w:p>
        </w:tc>
        <w:tc>
          <w:tcPr>
            <w:tcW w:w="120" w:type="dxa"/>
            <w:vAlign w:val="bottom"/>
            <w:shd w:val="clear" w:color="auto" w:fill="CCEEFF"/>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(5,661)</w:t>
            </w:r>
          </w:p>
        </w:tc>
        <w:tc>
          <w:tcPr>
            <w:tcW w:w="1160" w:type="dxa"/>
            <w:vAlign w:val="bottom"/>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9"/>
                <w:szCs w:val="29"/>
                <w:color w:val="auto"/>
                <w:vertAlign w:val="superscript"/>
              </w:rPr>
              <w:t>(1)</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20,196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244.7%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12,609</w:t>
            </w:r>
          </w:p>
        </w:tc>
        <w:tc>
          <w:tcPr>
            <w:tcW w:w="120" w:type="dxa"/>
            <w:vAlign w:val="bottom"/>
            <w:shd w:val="clear" w:color="auto" w:fill="CCEEFF"/>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2,997</w:t>
            </w:r>
          </w:p>
        </w:tc>
        <w:tc>
          <w:tcPr>
            <w:tcW w:w="116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w:t>
            </w:r>
          </w:p>
        </w:tc>
        <w:tc>
          <w:tcPr>
            <w:tcW w:w="1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Diluted net income per ADS, US$</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0.14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376.3%</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160" w:type="dxa"/>
            <w:vAlign w:val="bottom"/>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432"/>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Diluted adjusted net income per ADS, US$ </w:t>
            </w:r>
            <w:r>
              <w:rPr>
                <w:rFonts w:ascii="Arial" w:cs="Arial" w:eastAsia="Arial" w:hAnsi="Arial"/>
                <w:sz w:val="29"/>
                <w:szCs w:val="29"/>
                <w:color w:val="auto"/>
                <w:vertAlign w:val="superscript"/>
              </w:rPr>
              <w:t>(1)</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0.17</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223.8%</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-1790700</wp:posOffset>
            </wp:positionV>
            <wp:extent cx="591185" cy="1791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1185" cy="179133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-1790700</wp:posOffset>
            </wp:positionV>
            <wp:extent cx="600075" cy="1791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 cy="1791335"/>
                    </a:xfrm>
                    <a:prstGeom prst="rect">
                      <a:avLst/>
                    </a:prstGeom>
                    <a:noFill/>
                  </pic:spPr>
                </pic:pic>
              </a:graphicData>
            </a:graphic>
          </wp:anchor>
        </w:drawing>
      </w:r>
    </w:p>
    <w:p>
      <w:pPr>
        <w:spacing w:after="0" w:line="113"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Please see the separate section "About non-IFRS financial measures" for the definitions of adjusted EBITDA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60"/>
        <w:spacing w:after="0" w:line="275" w:lineRule="auto"/>
        <w:rPr>
          <w:sz w:val="20"/>
          <w:szCs w:val="20"/>
          <w:color w:val="auto"/>
        </w:rPr>
      </w:pPr>
      <w:r>
        <w:rPr>
          <w:rFonts w:ascii="Arial" w:cs="Arial" w:eastAsia="Arial" w:hAnsi="Arial"/>
          <w:sz w:val="17"/>
          <w:szCs w:val="17"/>
          <w:color w:val="auto"/>
        </w:rPr>
        <w:t>Song Lin, Opera’s Co-CEO, said, “Opera continues to grow its users with new records across Opera News, PC and Opera for Android in the second quarter. This momentum has carried into July where Opera achieved a record 379 million active users. Further, monetization is recovering nicely from its April low and we saw continual improvement as the second quarter progressed and into the third quarter. Finally, we are very excited about the formation of Nanobank, the combination of Opera’s microlending business and Mobimagic, a comparable business and an existing partner, creating a category leader well-positioned for accelerated growth, profitability, and flexibility to drive shareholder value.”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2020 user base and product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are relative to the second quarter of 2019 unless otherwise stated)</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 News average Monthly Active Users (“MAUs”) grew 26% to 205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Users of our Opera News apps increased to 51 million average MAUs, up 41%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smartphone average MAUs grew to 226 million and increased to over 240 million in July, a record high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PC average MAUs were 75 million, reaching record high and up 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Microlending volumes began to increase at the end of June; July loans disbursed increased 82% versus June</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Mr. Lin commented, “I remain pleased with how our employees and the company are navigating these unprecedented times. Our R&amp;D efforts have continued to progress, our commercial teams are working hard to drive monetization and we are making significant progress with our new initiatives. Our user trends are strong with historical highs across many of our key products, and we are seeing a recovery from the impact of COVID-19 to monetization. Combined with the underlying shift from offline to online for transactions and advertising spend, we believe the near-term monetization impacts may be more than offset over time by our product successes.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user base in the second quarter was a record 363 million monthly active users, an increase of 12 million users compared to the first quarter. This was driven by growth in Africa and Europe, our key regions of focus. Specifically, Opera News exceeded 200 million users, driven by ongoing product improvements, including our expansion of the Opera News Hub, the launch of Opera News Lite, and Opera News becoming a critical information hub. Further, browser users continued to grow, including PC users growing 15% year-over-year to a record high 75 million and relationships with mobile carriers in Africa adding to our growth of mobile browsers in that region.</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“Microlending is also beginning to recover from COVID-19 in all of our markets. We tested the market at reduced levels for the majority of the second quarter, with the bulk of our volume in the quarter originated in June. While it will take some time to return to first quarter levels, especially as the business generally takes a cautious approach, managing for profitability versus volumes in the short-term, we believe it is on the right trajectory and in its new structure can drive even stronger returns. We are also very pleased to have collected substantially more of our early-2020 loans than originally expected at the time we closed the first quarter.</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continue to push forward on our new initiatives such as OList and European Fintech, and we are pleased with the progress we’ve made over the last several months. We are now testing our initial and innovative buy-now-pay-later product, in our first major market, Spain. We’ve acquired a small number of users already with plans for a formal launch later in the year, all of which is aimed at having European Fintech become a significant contributor to revenue next year. We have also entered into an agreement to acquire Fjord Bank, subject to regulatory approval, which will allow us to offer more services as part of our digital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8"/>
          <w:szCs w:val="18"/>
          <w:color w:val="auto"/>
        </w:rPr>
        <w:t>“To sum it up, we are continuing to execute against our growth strategy and are encouraged by the recovery that we are seeing and progress we are making helping offline transition to an online world.”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Nanobank formation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Opera today announces the formation of Nanobank, creating one of the largest emerging markets dedicated fintech companies in the world. Nanobank is being created by consolidating the relevant businesses and technology platforms from Opera with those of Mobimagic, reaching a combined registered user base of approximately 50 million people. Mobimagic launched its fintech operations in 2018 and is today one of the fastest growing fintech companies in these emerging markets, with almost 10 million registered users in Indonesia and a strong technology platform that has been the foundation of its existing partnership with Opera. Opera and Mobimagic today also announce Nanobank’s expansion to yet another market, Mexico. We are already moving from testing to scale, which we expect to create another major market for Nanobank.</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ambition and potential in the fintech space is enormous,” said Yahui Zhou, Chairman and CEO of Opera. “We are now taking the next steps to further boost this business -- making it even larger, consolidating profitability between two highly successful companies, and realizing benefits of scale to support attractive cash generation. The resulting Nanobank will operate as a separate company, which enables flexibility for both Nanobank and Opera, including the chance to take in strategic investors or float shares.”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combination of Opera’s and Mobimagic’s fintech offerings creates one of the largest emerging market fintech providers in the world,” Mr. Zhou continued. “The combined business has already achieved an impressive scale and trajectory. Nanobank’s goal is to get much bigger. Further expansion will be fueled by continued growth in existing geographies, the launch of new markets, and broadening the product portfolio beyond microlending. Opera shareholders will benefit from this upside, strategic flexibility and expected cash distributions.”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are details on Opera’s emerging markets fintech business, Mobimagic and specific details on the creation of Nanobank:</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 generated $128 million in emerging market fintech revenue in 2019, with a pre-tax profit of approximately $19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2019, Mobimagic generated $106 million in revenue with $48 million in pre-tax profits.</w:t>
      </w:r>
    </w:p>
    <w:p>
      <w:pPr>
        <w:spacing w:after="0" w:line="9"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combined Opera and Mobimagic businesses generated revenue of $209 million and a pre-tax profit of $68 million (32% pre-tax margin) in 2019, when adjusting for transactions between the parties. In the first quarter of 2020, prior to the material impact from COVID-19, the combined businesses generated $120 million in revenue on 10 million loans disbursed with a total value of $686 million. This compares to combined revenue of $22 million generated on less than $100 million in loans disbursed in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 w:name="page7"/>
    <w:bookmarkEnd w:id="6"/>
    <w:p>
      <w:pPr>
        <w:ind w:left="660" w:right="8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 COVID-19, the Nanobank businesses accelerated their re-scaling at the end of June. Loans disbursed further increased to $44 million in July, compared to $28 million in June, and August is on track to see additional significant volume increases. Indonesia is the furthest along in its recovery and is nearing first quarter levels.</w:t>
      </w:r>
    </w:p>
    <w:p>
      <w:pPr>
        <w:spacing w:after="0" w:line="2"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Nanobank expects to fuel growth through scaling in existing markets, continued geographic expansion, and from the launch of financial services beyond microlending.</w:t>
      </w:r>
    </w:p>
    <w:p>
      <w:pPr>
        <w:ind w:left="660" w:right="10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Nanobank will also benefit from shared technologies, data aggregation and central functions, such as risk management and credit scoring through user profiling and know-your-customer (KYC) efforts, shared operational know-how and a more holistic view and adaptation to regulation.</w:t>
      </w:r>
    </w:p>
    <w:p>
      <w:pPr>
        <w:spacing w:after="0" w:line="1"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 will own 42% of the equity interest in Nanobank, while Mobimagic’s shareholders will own a combined 58%. As Mobimagic is controlled by Opera’s CEO and Chairman, Opera engaged a professional third party to value each of the parties’ contributions and advise on the resulting ownership split. Opera’s Audit Committee, which consists solely of independent Directors, has overseen Opera’s interests in the non-cash transaction.</w:t>
      </w:r>
    </w:p>
    <w:p>
      <w:pPr>
        <w:spacing w:after="0" w:line="1" w:lineRule="exact"/>
        <w:rPr>
          <w:rFonts w:ascii="Arial" w:cs="Arial" w:eastAsia="Arial" w:hAnsi="Arial"/>
          <w:sz w:val="18"/>
          <w:szCs w:val="18"/>
          <w:color w:val="auto"/>
        </w:rPr>
      </w:pPr>
    </w:p>
    <w:p>
      <w:pPr>
        <w:ind w:left="660" w:right="140" w:hanging="328"/>
        <w:spacing w:after="0" w:line="29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 expects to report a one-time gain in the third quarter as a result of the Nanobank transaction, currently estimated to exceed $100 million as Nanobank becomes an equity accounted investee for Opera. Initial ownership will be recognized at fair value, representing a step-up versus the book value of Opera’s contributed business. Subsequent to the transaction, Opera will recognize our share of Nanobank’s profits, adjusted by amortization of excess values allocated to intangible assets such as technology, customer relationships and licenses.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Mr. Frode Jacobsen, Opera’s CFO, said, “Our users metrics remain strong and year-over-year revenue trends have improved each month since bottoming in April due to COVID-19 impacts to monetization. Given the uncertainties around the slope of recovery, we are not providing guidance for the third quarter or full year 2020 but we believe it is helpful to share some directional commentary:</w:t>
      </w:r>
    </w:p>
    <w:p>
      <w:pPr>
        <w:spacing w:after="0" w:line="184" w:lineRule="exact"/>
        <w:rPr>
          <w:sz w:val="20"/>
          <w:szCs w:val="20"/>
          <w:color w:val="auto"/>
        </w:rPr>
      </w:pPr>
    </w:p>
    <w:p>
      <w:pPr>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Combined search and advertising recovering to -8% year-over-year change in July (compared to -19% in the second quarter). We expect the business to materially exceed the typical seasonal increase from the second to third quarter due to continued improved monetization and our strong users metrics.</w:t>
      </w:r>
    </w:p>
    <w:p>
      <w:pPr>
        <w:spacing w:after="0" w:line="2"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new initiatives, OList and European Fintech, will start to generate limited revenue in 2H 2020, but more importantly we expect these initiatives to remain on track to drive meaningful growth in 2021.</w:t>
      </w:r>
    </w:p>
    <w:p>
      <w:pPr>
        <w:jc w:val="both"/>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Microlending revenue and OPEX will be replaced by our 42% of Nanobank’s results as of August 20th, reflected under “share of net income from associates and joint ventures”. Combined, the Nanobank businesses are expected to show strong sequential revenue growth in the third quarter and expand margins as the business scales back up.</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tech and retail revenue between $5 to $6 million combined in the third quarter, down approximately $8 million from the second quarter; though we expect this will have little to no impact on adjusted EBITDA given this is low margin revenue.</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will benefit from the increases in high-margin search and advertising revenue; where we expect double-digit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Second quarter 2020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this section are relative to the second quarter of 2019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decreased 10% to $55.4 million</w:t>
      </w:r>
    </w:p>
    <w:p>
      <w:pPr>
        <w:spacing w:after="0" w:line="27" w:lineRule="exact"/>
        <w:rPr>
          <w:sz w:val="20"/>
          <w:szCs w:val="20"/>
          <w:color w:val="auto"/>
        </w:rPr>
      </w:pPr>
    </w:p>
    <w:p>
      <w:pPr>
        <w:ind w:left="660" w:right="4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Search revenue declined 18% to $17.6 million due to the impact of COVID-19 on monetization, which exceeded the strong underlying user growth.</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Advertising revenue decreased 22% to $12.7 million, subject to the same effects as search revenue.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Fintech revenue increased 2% to $11.8 million but was down significantly from the first quarter of 2020, which is in line with expectations as we reduced credit availability due to COVID-19.</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revenue was $11.4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licensing and other revenue was $1.9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was $6.1 million relating primarily to the divestment of a Nigerian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decreased 8% to $59.4 million.</w:t>
      </w:r>
    </w:p>
    <w:p>
      <w:pPr>
        <w:spacing w:after="0" w:line="27" w:lineRule="exact"/>
        <w:rPr>
          <w:sz w:val="20"/>
          <w:szCs w:val="20"/>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revenue was $17.4 million, an increase of 39% year-over-year, while a decrease of 37% sequentially due to lower microlending activity. Within this total, $1.9 million related to microlending revenue, and $11.5 million related to retail revenue. Further, $2.1 million related to the browser and news business area and $2.0 million related to other revenue.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expenses, including share-based remuneration, were $17.0 million, a 28% increase year-over-year, while a decrease of 17% sequentially. This expense consists of cash-based compensation expense of $15.4 million, and $1.6 million of share-based remuneration expense. The sequential decrease was mainly due to a reduction in market-specific operational staff.</w:t>
      </w:r>
    </w:p>
    <w:p>
      <w:pPr>
        <w:spacing w:after="0" w:line="1" w:lineRule="exact"/>
        <w:rPr>
          <w:rFonts w:ascii="Arial" w:cs="Arial" w:eastAsia="Arial" w:hAnsi="Arial"/>
          <w:sz w:val="18"/>
          <w:szCs w:val="18"/>
          <w:color w:val="auto"/>
        </w:rPr>
      </w:pPr>
    </w:p>
    <w:p>
      <w:pPr>
        <w:jc w:val="both"/>
        <w:ind w:left="660" w:right="1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and distribution expenses were $10.2 million, a decrease of 52% year-over-year, and 44% sequentially. The sequential decrease was primarily related to lower marketing activity and reduced marketing cost across all businesses in response to strong organic user growth in the quarter.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loss expense was $1.5 million, all of which related to microlending. We benefited from collections exceeding our previous expectations as it related to loans outstanding at the end of the first quarter.</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amortization expenses were $4.8 million, a 13% increase.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operating expenses were $8.0 million, a 7% increase year-over-year, and a decrease of 31% sequentially.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8" w:name="page9"/>
    <w:bookmarkEnd w:id="8"/>
    <w:p>
      <w:pPr>
        <w:ind w:right="180"/>
        <w:spacing w:after="0" w:line="266"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was $2.1 million, representing an operating margin of 4%, compared to operating loss of $2.8 million and a negative 4% margin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2019. The increase was primarily due to lower operating expenses, particularly marketing and distribution expenses in response to strong organic user growth in the quarter, as well as other income.</w:t>
      </w:r>
    </w:p>
    <w:p>
      <w:pPr>
        <w:spacing w:after="0" w:line="18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Other items include share of net loss of associates and joint ventures of $0.8 million, relating to OPay, Powerbets and nHorizon, and a gain of $6.0 million relating to an increase in the fair value of our shares in Starmaker, which has been performing well ahead of expectations. Further, net finance gains were $9.8 million, including gains of $9.3 million related to marketable securities, versus a $5.8 million loss from marketable securities in the first quarter.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was negligible in the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$17.1 million, representing a 31% margin, compared to a net income of $3.4 million in the second quarter of 2019.</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Net income per ADS </w:t>
      </w:r>
      <w:r>
        <w:rPr>
          <w:rFonts w:ascii="Arial" w:cs="Arial" w:eastAsia="Arial" w:hAnsi="Arial"/>
          <w:sz w:val="18"/>
          <w:szCs w:val="18"/>
          <w:color w:val="auto"/>
        </w:rPr>
        <w:t>was $0.14 in the quarter. Each ADS represents two shares in Opera Limited. In the quarter, the average number of shares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was 238 million, corresponding to 119 million ADSs.</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$2.9 million, representing a 5% adjusted EBITDA margin, compared to adjusted EBITDA of $3.0 million in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2019. Adjusted EBITDA excludes share-based remuneration and non-recurring expenses, as well as other income.</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Adjusted Net Income </w:t>
      </w:r>
      <w:r>
        <w:rPr>
          <w:rFonts w:ascii="Arial" w:cs="Arial" w:eastAsia="Arial" w:hAnsi="Arial"/>
          <w:sz w:val="17"/>
          <w:szCs w:val="17"/>
          <w:color w:val="auto"/>
        </w:rPr>
        <w:t>was $20.2 million in the quarter, representing a 36% adjusted net margin, compared to adjusted net income of $5.9 million in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2019. Adjusted net income excludes share-based remuneration, non-recurring expenses and amortization of intangible assets related to acquisitions. Adjusted net income further includes partially offsetting reversals of the tax impacts of the foregoing adjustments.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net income per ADS </w:t>
      </w:r>
      <w:r>
        <w:rPr>
          <w:rFonts w:ascii="Arial" w:cs="Arial" w:eastAsia="Arial" w:hAnsi="Arial"/>
          <w:sz w:val="18"/>
          <w:szCs w:val="18"/>
          <w:color w:val="auto"/>
        </w:rPr>
        <w:t>was $0.17 in the quarter.</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repurchased 1.70 million ADSs in the quarter for a total spend of $13.0 million. Year-to-date, we had repurchased 2.47 million ADSs at $18.5 million, leaving $31.5 million available under our current repurchase authorization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Opera’s management will host a conference call to discuss the second quarter 2020 financial results on Thursday, August 20th at 8:00 am Eastern Time (EDT) (2:00 PM Central European Time, 8:00 PM Beijing/Hong Kong time). Listeners may access the call by dialing the following numbers: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United States: +1 833 570-1161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+86 400 682 8609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+852 5819 4851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 +47 2396 4173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+44 (0)203 107 0289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+1 918 922-6511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3976076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webcast of the conference call will be posted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To supplement our consolidated financial statements, which are prepared and presented based on IFRS,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71"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We define adjusted EBITDA as net income (loss) excluding income tax expense (benefit), net finance expense (income), share of net loss (income) of associates and joint ventures, restructuring costs, depreciation and amortization, share-based remuneration, other income and non-recurring expenses.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define adjusted net income as net income excluding share-based remuneration, amortization of acquired intangible assets, non-recurring expenses and income tax adjustments.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adjusted EBITDA and adjusted net income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 Please refer to our financial statements at the end of this announcement for a table reconciling our non-IFRS financial measures to net income (loss), the most directly comparable IFRS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 and Nanobank’s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and the Business outlook section contain forward-looking statements. These forward-looking statements involve known and unknown risks and uncertainties and are based on current expectations, assumptions, estimates and projections about the Company and Nanobank, the industry in which they operate, and the duration and effects of the COVID-19 pandemic. Potential risks and uncertainties include, but are not limited to, those relating to the development of the COVID-19 situation, those relating to the Company and Nanobanks goals and strategies; expected development and launch, and market acceptance, of products and services; Company and Nanobank’s expectations regarding demand for and market acceptance of their brands, platforms and services; Company and Nanobank’s expectations regarding growth in its user base and level of engagement; Company and Nanobank’s ability to attract, retain and monetize users; Company and Nanobank’s ability to continue to develop new technologies and/or upgrade its existing technologies and quarterly variations in Company’s operating results caused by factors beyond its control and global macroeconomic conditions and their potential impact in the markets in which Company or Nanobank has businesses. All information provided in this press release is as of the date hereof, and the Company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U.S. Securities and Exchange Commission, including its annual reports on Form 20-F.</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Opera is a leading global internet brand with an engaged and growing base of over 360 million average monthly active users. Building on over 20 years of innovation, starting with our browser products, we are increasingly leveraging our brand as well as our massive and highly active user base in order to expand our offerings and our business. Today, we offer users across Europe, Africa and Asia a range of products and services that include our PC and mobile browsers as well as our AI-powered news reader Opera News and our app-based fintech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Derrick Nueman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 or +1 (408) 596-3055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UNAUDITED CONSOLIDATED STATEMENT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[US$ thousands, except per share and ADS amounts]</w:t>
            </w:r>
          </w:p>
        </w:tc>
        <w:tc>
          <w:tcPr>
            <w:tcW w:w="27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25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61,725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55,434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193,647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(12,519)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(21,153)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(45,033)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Personnel expenses including share-based remuneration</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(13,311)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(16,975)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(23,608)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(37,468)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distribution expenses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(35,694)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(28,278)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Credit loss expense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(5,776)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(1,494)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(7,633)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(70,982)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Non-recurring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(13,792)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(64,486)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(59,413)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(110,303)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(213,490)</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(loss)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(2,762)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(13,735)</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preferred shares in associates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income (expense)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1,668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3,359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foreign exchange gain (loss)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income (expense)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1,186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9,802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1,510</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2,406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(7,702)</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7,803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(3,722)</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Equity holders of the parent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17,141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net income (loss) attributed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17,141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Basic, millions</w:t>
            </w:r>
            <w:r>
              <w:rPr>
                <w:rFonts w:ascii="Arial" w:cs="Arial" w:eastAsia="Arial" w:hAnsi="Arial"/>
                <w:sz w:val="25"/>
                <w:szCs w:val="25"/>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220.58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Diluted, millions</w:t>
            </w:r>
            <w:r>
              <w:rPr>
                <w:rFonts w:ascii="Arial" w:cs="Arial" w:eastAsia="Arial" w:hAnsi="Arial"/>
                <w:sz w:val="25"/>
                <w:szCs w:val="25"/>
                <w:color w:val="auto"/>
                <w:vertAlign w:val="superscript"/>
              </w:rPr>
              <w:t>(2)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224.65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239.92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224.31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ordinary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US$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Diluted, US$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ADS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US$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Diluted, US$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As of June 30, 2020, the total number of shares outstanding for Opera Limited was 235,127,662, equivalent to 117,563,831 ADSs.</w:t>
      </w:r>
    </w:p>
    <w:p>
      <w:pPr>
        <w:spacing w:after="0" w:line="163" w:lineRule="exact"/>
        <w:rPr>
          <w:rFonts w:ascii="Arial" w:cs="Arial" w:eastAsia="Arial" w:hAnsi="Arial"/>
          <w:sz w:val="26"/>
          <w:szCs w:val="26"/>
          <w:color w:val="auto"/>
          <w:vertAlign w:val="superscript"/>
        </w:rPr>
      </w:pPr>
    </w:p>
    <w:p>
      <w:pPr>
        <w:ind w:left="220" w:hanging="212"/>
        <w:spacing w:after="0" w:line="215" w:lineRule="auto"/>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Includes the net dilutive impact of employee equity awards, all of which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0020" w:type="dxa"/>
            <w:vAlign w:val="bottom"/>
            <w:gridSpan w:val="8"/>
          </w:tcPr>
          <w:p>
            <w:pPr>
              <w:ind w:left="2080"/>
              <w:spacing w:after="0"/>
              <w:rPr>
                <w:sz w:val="20"/>
                <w:szCs w:val="20"/>
                <w:color w:val="auto"/>
              </w:rPr>
            </w:pPr>
            <w:r>
              <w:rPr>
                <w:rFonts w:ascii="Arial" w:cs="Arial" w:eastAsia="Arial" w:hAnsi="Arial"/>
                <w:sz w:val="18"/>
                <w:szCs w:val="18"/>
                <w:b w:val="1"/>
                <w:bCs w:val="1"/>
                <w:color w:val="auto"/>
              </w:rPr>
              <w:t>UNAUDITED CONSOLIDATED STATEMENT OF COMPREHENSIVE INCOME (LOSS)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[US$ thousands]</w:t>
            </w:r>
          </w:p>
        </w:tc>
        <w:tc>
          <w:tcPr>
            <w:tcW w:w="27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25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7,803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(3,722)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comprehensive income (loss) that may be reclassified to the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in subsequent periods (net of tax)</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exchange differences on loss of control</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w w:val="97"/>
              </w:rPr>
              <w:t>Share of other comprehensive income (loss) of associates and joint ventures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8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9"/>
              </w:rPr>
              <w:t>Net other comprehensive income (loss) that may be reclassified to the</w:t>
            </w: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397</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1,211</w:t>
            </w: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(144)</w:t>
            </w:r>
          </w:p>
        </w:tc>
        <w:tc>
          <w:tcPr>
            <w:tcW w:w="1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(1,365)</w:t>
            </w:r>
          </w:p>
        </w:tc>
        <w:tc>
          <w:tcPr>
            <w:tcW w:w="0" w:type="dxa"/>
            <w:vAlign w:val="bottom"/>
          </w:tcPr>
          <w:p>
            <w:pPr>
              <w:spacing w:after="0"/>
              <w:rPr>
                <w:sz w:val="1"/>
                <w:szCs w:val="1"/>
                <w:color w:val="auto"/>
              </w:rPr>
            </w:pPr>
          </w:p>
        </w:tc>
      </w:tr>
      <w:tr>
        <w:trPr>
          <w:trHeight w:val="221"/>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in subsequent periods</w:t>
            </w:r>
          </w:p>
        </w:tc>
        <w:tc>
          <w:tcPr>
            <w:tcW w:w="138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3,820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7,659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(5,085)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 attributable to:</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attributed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18,353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7,659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(5,085)</w:t>
            </w:r>
          </w:p>
        </w:tc>
        <w:tc>
          <w:tcPr>
            <w:tcW w:w="0" w:type="dxa"/>
            <w:vAlign w:val="bottom"/>
          </w:tcPr>
          <w:p>
            <w:pPr>
              <w:spacing w:after="0"/>
              <w:rPr>
                <w:sz w:val="1"/>
                <w:szCs w:val="1"/>
                <w:color w:val="auto"/>
              </w:rPr>
            </w:pPr>
          </w:p>
        </w:tc>
      </w:tr>
      <w:tr>
        <w:trPr>
          <w:trHeight w:val="555"/>
        </w:trPr>
        <w:tc>
          <w:tcPr>
            <w:tcW w:w="58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gridSpan w:val="4"/>
          </w:tcPr>
          <w:p>
            <w:pPr>
              <w:ind w:left="2620"/>
              <w:spacing w:after="0"/>
              <w:rPr>
                <w:sz w:val="20"/>
                <w:szCs w:val="20"/>
                <w:color w:val="auto"/>
              </w:rPr>
            </w:pPr>
            <w:r>
              <w:rPr>
                <w:rFonts w:ascii="Arial" w:cs="Arial" w:eastAsia="Arial" w:hAnsi="Arial"/>
                <w:sz w:val="18"/>
                <w:szCs w:val="18"/>
                <w:b w:val="1"/>
                <w:bCs w:val="1"/>
                <w:color w:val="auto"/>
              </w:rPr>
              <w:t>UNAUDITED CONSOLIDATED STATEMENT OF FINANCIAL POSITION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As of December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8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20" w:type="dxa"/>
            <w:vAlign w:val="bottom"/>
            <w:vMerge w:val="restart"/>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480" w:type="dxa"/>
            <w:vAlign w:val="bottom"/>
          </w:tcPr>
          <w:p>
            <w:pPr>
              <w:jc w:val="right"/>
              <w:spacing w:after="0"/>
              <w:rPr>
                <w:sz w:val="20"/>
                <w:szCs w:val="20"/>
                <w:color w:val="auto"/>
              </w:rPr>
            </w:pPr>
            <w:r>
              <w:rPr>
                <w:rFonts w:ascii="Arial" w:cs="Arial" w:eastAsia="Arial" w:hAnsi="Arial"/>
                <w:sz w:val="18"/>
                <w:szCs w:val="18"/>
                <w:color w:val="auto"/>
              </w:rPr>
              <w:t>110,807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113,396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421,578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425,577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Investments in associates and joint ventures</w:t>
            </w:r>
          </w:p>
        </w:tc>
        <w:tc>
          <w:tcPr>
            <w:tcW w:w="1480" w:type="dxa"/>
            <w:vAlign w:val="bottom"/>
          </w:tcPr>
          <w:p>
            <w:pPr>
              <w:jc w:val="right"/>
              <w:spacing w:after="0"/>
              <w:rPr>
                <w:sz w:val="20"/>
                <w:szCs w:val="20"/>
                <w:color w:val="auto"/>
              </w:rPr>
            </w:pPr>
            <w:r>
              <w:rPr>
                <w:rFonts w:ascii="Arial" w:cs="Arial" w:eastAsia="Arial" w:hAnsi="Arial"/>
                <w:sz w:val="18"/>
                <w:szCs w:val="18"/>
                <w:color w:val="auto"/>
              </w:rPr>
              <w:t>76,300</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80,809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financial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642,293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656,427</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480" w:type="dxa"/>
            <w:vAlign w:val="bottom"/>
          </w:tcPr>
          <w:p>
            <w:pPr>
              <w:jc w:val="right"/>
              <w:spacing w:after="0"/>
              <w:rPr>
                <w:sz w:val="20"/>
                <w:szCs w:val="20"/>
                <w:color w:val="auto"/>
              </w:rPr>
            </w:pPr>
            <w:r>
              <w:rPr>
                <w:rFonts w:ascii="Arial" w:cs="Arial" w:eastAsia="Arial" w:hAnsi="Arial"/>
                <w:sz w:val="18"/>
                <w:szCs w:val="18"/>
                <w:color w:val="auto"/>
              </w:rPr>
              <w:t>49,371</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39,778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to customers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480" w:type="dxa"/>
            <w:vAlign w:val="bottom"/>
          </w:tcPr>
          <w:p>
            <w:pPr>
              <w:jc w:val="right"/>
              <w:spacing w:after="0"/>
              <w:rPr>
                <w:sz w:val="20"/>
                <w:szCs w:val="20"/>
                <w:color w:val="auto"/>
              </w:rPr>
            </w:pPr>
            <w:r>
              <w:rPr>
                <w:rFonts w:ascii="Arial" w:cs="Arial" w:eastAsia="Arial" w:hAnsi="Arial"/>
                <w:sz w:val="18"/>
                <w:szCs w:val="18"/>
                <w:color w:val="auto"/>
              </w:rPr>
              <w:t>59,112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63,132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25,809</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480" w:type="dxa"/>
            <w:vAlign w:val="bottom"/>
          </w:tcPr>
          <w:p>
            <w:pPr>
              <w:jc w:val="right"/>
              <w:spacing w:after="0"/>
              <w:rPr>
                <w:sz w:val="20"/>
                <w:szCs w:val="20"/>
                <w:color w:val="auto"/>
              </w:rPr>
            </w:pPr>
            <w:r>
              <w:rPr>
                <w:rFonts w:ascii="Arial" w:cs="Arial" w:eastAsia="Arial" w:hAnsi="Arial"/>
                <w:sz w:val="18"/>
                <w:szCs w:val="18"/>
                <w:color w:val="auto"/>
              </w:rPr>
              <w:t>7,752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financial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42,146</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54,345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139,487</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181,633</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418,327</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307,167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1,060,620</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963,594</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paid in capital</w:t>
            </w:r>
          </w:p>
        </w:tc>
        <w:tc>
          <w:tcPr>
            <w:tcW w:w="1480" w:type="dxa"/>
            <w:vAlign w:val="bottom"/>
          </w:tcPr>
          <w:p>
            <w:pPr>
              <w:jc w:val="right"/>
              <w:spacing w:after="0"/>
              <w:rPr>
                <w:sz w:val="20"/>
                <w:szCs w:val="20"/>
                <w:color w:val="auto"/>
              </w:rPr>
            </w:pPr>
            <w:r>
              <w:rPr>
                <w:rFonts w:ascii="Arial" w:cs="Arial" w:eastAsia="Arial" w:hAnsi="Arial"/>
                <w:sz w:val="18"/>
                <w:szCs w:val="18"/>
                <w:color w:val="auto"/>
              </w:rPr>
              <w:t>814,177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795,707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98,025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Foreign currency translation reserve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(1,508)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Equity attributed to equity holders of the parent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912,206</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890,884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912,206</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890,884</w:t>
            </w:r>
          </w:p>
        </w:tc>
        <w:tc>
          <w:tcPr>
            <w:tcW w:w="0" w:type="dxa"/>
            <w:vAlign w:val="bottom"/>
          </w:tcPr>
          <w:p>
            <w:pPr>
              <w:spacing w:after="0"/>
              <w:rPr>
                <w:sz w:val="1"/>
                <w:szCs w:val="1"/>
                <w:color w:val="auto"/>
              </w:rPr>
            </w:pPr>
          </w:p>
        </w:tc>
      </w:tr>
      <w:tr>
        <w:trPr>
          <w:trHeight w:val="197"/>
        </w:trPr>
        <w:tc>
          <w:tcPr>
            <w:tcW w:w="7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Non-current lease liabilities and other loans</w:t>
            </w:r>
          </w:p>
        </w:tc>
        <w:tc>
          <w:tcPr>
            <w:tcW w:w="1480" w:type="dxa"/>
            <w:vAlign w:val="bottom"/>
          </w:tcPr>
          <w:p>
            <w:pPr>
              <w:jc w:val="right"/>
              <w:spacing w:after="0"/>
              <w:rPr>
                <w:sz w:val="20"/>
                <w:szCs w:val="20"/>
                <w:color w:val="auto"/>
              </w:rPr>
            </w:pPr>
            <w:r>
              <w:rPr>
                <w:rFonts w:ascii="Arial" w:cs="Arial" w:eastAsia="Arial" w:hAnsi="Arial"/>
                <w:sz w:val="18"/>
                <w:szCs w:val="18"/>
                <w:color w:val="auto"/>
              </w:rPr>
              <w:t>9,181</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19,844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18,408</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1480" w:type="dxa"/>
            <w:vAlign w:val="bottom"/>
          </w:tcPr>
          <w:p>
            <w:pPr>
              <w:jc w:val="right"/>
              <w:spacing w:after="0"/>
              <w:rPr>
                <w:sz w:val="20"/>
                <w:szCs w:val="20"/>
                <w:color w:val="auto"/>
              </w:rPr>
            </w:pPr>
            <w:r>
              <w:rPr>
                <w:rFonts w:ascii="Arial" w:cs="Arial" w:eastAsia="Arial" w:hAnsi="Arial"/>
                <w:sz w:val="18"/>
                <w:szCs w:val="18"/>
                <w:color w:val="auto"/>
              </w:rPr>
              <w:t>57,125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28,815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lease liabilities and other loans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1480" w:type="dxa"/>
            <w:vAlign w:val="bottom"/>
          </w:tcPr>
          <w:p>
            <w:pPr>
              <w:jc w:val="right"/>
              <w:spacing w:after="0"/>
              <w:rPr>
                <w:sz w:val="20"/>
                <w:szCs w:val="20"/>
                <w:color w:val="auto"/>
              </w:rPr>
            </w:pPr>
            <w:r>
              <w:rPr>
                <w:rFonts w:ascii="Arial" w:cs="Arial" w:eastAsia="Arial" w:hAnsi="Arial"/>
                <w:sz w:val="18"/>
                <w:szCs w:val="18"/>
                <w:color w:val="auto"/>
              </w:rPr>
              <w:t>7,803</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128,570</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54,306</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148,414</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1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1,060,620</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963,594</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8"/>
          </w:tcPr>
          <w:p>
            <w:pPr>
              <w:ind w:left="2640"/>
              <w:spacing w:after="0"/>
              <w:rPr>
                <w:sz w:val="20"/>
                <w:szCs w:val="20"/>
                <w:color w:val="auto"/>
              </w:rPr>
            </w:pPr>
            <w:r>
              <w:rPr>
                <w:rFonts w:ascii="Arial" w:cs="Arial" w:eastAsia="Arial" w:hAnsi="Arial"/>
                <w:sz w:val="18"/>
                <w:szCs w:val="18"/>
                <w:b w:val="1"/>
                <w:bCs w:val="1"/>
                <w:color w:val="auto"/>
              </w:rPr>
              <w:t>UNAUDITED CONSOLIDATED STATEMENT OF CHANGES IN EQUITY</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2019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Other paid in</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Total 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 as previously reported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738,690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36,432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775,460</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Impact of implementing IFRS 16 Leases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2019, restated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738,690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36,496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775,524</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7,803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7,803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7,659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Share-based remuneration expense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732,910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46,538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779,641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six months ended June 30, 2020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Other paid in</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Total equity</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814,177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99,513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912,206</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(3,722)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(3,722)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(1,365)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(5,086)</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(18,470)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Share-based remuneration expense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2,234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2,234</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795,707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98,025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(2,873)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890,884</w:t>
            </w:r>
          </w:p>
        </w:tc>
      </w:tr>
      <w:tr>
        <w:trPr>
          <w:trHeight w:val="555"/>
        </w:trPr>
        <w:tc>
          <w:tcPr>
            <w:tcW w:w="45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6"/>
          </w:tcPr>
          <w:p>
            <w:pPr>
              <w:ind w:left="3000"/>
              <w:spacing w:after="0"/>
              <w:rPr>
                <w:sz w:val="20"/>
                <w:szCs w:val="20"/>
                <w:color w:val="auto"/>
              </w:rPr>
            </w:pPr>
            <w:r>
              <w:rPr>
                <w:rFonts w:ascii="Arial" w:cs="Arial" w:eastAsia="Arial" w:hAnsi="Arial"/>
                <w:sz w:val="18"/>
                <w:szCs w:val="18"/>
                <w:b w:val="1"/>
                <w:bCs w:val="1"/>
                <w:color w:val="auto"/>
              </w:rPr>
              <w:t>UNAUDITED CONSOLIDATED STATEMENT OF CASH FLOWS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6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20" w:type="dxa"/>
            <w:vAlign w:val="bottom"/>
            <w:vMerge w:val="restart"/>
          </w:tcPr>
          <w:p>
            <w:pPr>
              <w:spacing w:after="0"/>
              <w:rPr>
                <w:sz w:val="24"/>
                <w:szCs w:val="24"/>
                <w:color w:val="auto"/>
              </w:rPr>
            </w:pPr>
          </w:p>
        </w:tc>
        <w:tc>
          <w:tcPr>
            <w:tcW w:w="27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25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 (loss) before income taxes</w:t>
            </w:r>
          </w:p>
        </w:tc>
        <w:tc>
          <w:tcPr>
            <w:tcW w:w="1120" w:type="dxa"/>
            <w:vAlign w:val="bottom"/>
          </w:tcPr>
          <w:p>
            <w:pPr>
              <w:jc w:val="right"/>
              <w:spacing w:after="0"/>
              <w:rPr>
                <w:sz w:val="20"/>
                <w:szCs w:val="20"/>
                <w:color w:val="auto"/>
              </w:rPr>
            </w:pPr>
            <w:r>
              <w:rPr>
                <w:rFonts w:ascii="Arial" w:cs="Arial" w:eastAsia="Arial" w:hAnsi="Arial"/>
                <w:sz w:val="18"/>
                <w:szCs w:val="18"/>
                <w:color w:val="auto"/>
              </w:rPr>
              <w:t>2,406</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17,117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4,281</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8,423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loss (income) of associates and joint ventures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Change in fair value of preferred shares in associates and joint ventures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component of share-based payment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finance income (expense)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(1,187)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(9,802)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(2,849)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inventories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Change in trade and other receivables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(2,641)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loans to customers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30,991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79,122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Change in trade and other payables</w:t>
            </w:r>
          </w:p>
        </w:tc>
        <w:tc>
          <w:tcPr>
            <w:tcW w:w="1120" w:type="dxa"/>
            <w:vAlign w:val="bottom"/>
          </w:tcPr>
          <w:p>
            <w:pPr>
              <w:jc w:val="right"/>
              <w:spacing w:after="0"/>
              <w:rPr>
                <w:sz w:val="20"/>
                <w:szCs w:val="20"/>
                <w:color w:val="auto"/>
              </w:rPr>
            </w:pPr>
            <w:r>
              <w:rPr>
                <w:rFonts w:ascii="Arial" w:cs="Arial" w:eastAsia="Arial" w:hAnsi="Arial"/>
                <w:sz w:val="18"/>
                <w:szCs w:val="18"/>
                <w:color w:val="auto"/>
              </w:rPr>
              <w:t>8,350</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(37,410)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14,217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(28,309)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deferred revenue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Change in prepayments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(12,704)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6,724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(9,662)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other liabilities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759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from (used in) operating activities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(16,026)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7,047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58,469</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investment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Purchase of intangibles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equipment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Acquisition of subsidiary, net of cash acquired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Disbursement of short-term loans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Release of escrow account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short-term loans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Deposit of collateral for loan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purchase of listed equity instruments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(14,049)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Development expenditure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(1,064)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(2,229)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(2,111)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received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cash flow from (used in) investing activities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(17,789)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(6,185)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(27,483)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(21,386)</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Proceeds from loans and borrowings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Interests on loans and borrowings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Repayment of loans and borrowings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(47,609)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(53,180)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cash flow from (used in) financing activities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(1,670)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(62,972)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(9,165)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(68,702)</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(35,485)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(62,110)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(43,568)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(31,620)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120" w:type="dxa"/>
            <w:vAlign w:val="bottom"/>
          </w:tcPr>
          <w:p>
            <w:pPr>
              <w:jc w:val="right"/>
              <w:spacing w:after="0"/>
              <w:rPr>
                <w:sz w:val="20"/>
                <w:szCs w:val="20"/>
                <w:color w:val="auto"/>
              </w:rPr>
            </w:pPr>
            <w:r>
              <w:rPr>
                <w:rFonts w:ascii="Arial" w:cs="Arial" w:eastAsia="Arial" w:hAnsi="Arial"/>
                <w:sz w:val="18"/>
                <w:szCs w:val="18"/>
                <w:color w:val="auto"/>
              </w:rPr>
              <w:t>169,846</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169,826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177,873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139,487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exchange difference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134,155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105,454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134,155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105,453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Financial details by business area</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60" w:type="dxa"/>
            <w:vAlign w:val="bottom"/>
            <w:gridSpan w:val="4"/>
          </w:tcPr>
          <w:p>
            <w:pPr>
              <w:spacing w:after="0"/>
              <w:rPr>
                <w:sz w:val="20"/>
                <w:szCs w:val="20"/>
                <w:color w:val="auto"/>
              </w:rPr>
            </w:pPr>
            <w:r>
              <w:rPr>
                <w:rFonts w:ascii="Arial" w:cs="Arial" w:eastAsia="Arial" w:hAnsi="Arial"/>
                <w:sz w:val="18"/>
                <w:szCs w:val="18"/>
                <w:color w:val="auto"/>
                <w:w w:val="90"/>
              </w:rPr>
              <w:t>The tables below specify the contribution by each business area:</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8"/>
                <w:szCs w:val="18"/>
                <w:b w:val="1"/>
                <w:bCs w:val="1"/>
                <w:color w:val="auto"/>
                <w:w w:val="90"/>
              </w:rPr>
              <w:t>Three Months Ended June 30, 2019</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40" w:type="dxa"/>
            <w:vAlign w:val="bottom"/>
          </w:tcPr>
          <w:p>
            <w:pPr>
              <w:spacing w:after="0"/>
              <w:rPr>
                <w:sz w:val="18"/>
                <w:szCs w:val="18"/>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Browser and News</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Fintech</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Retail</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21,403</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21,403</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16,158</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16,158</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11,576</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11,576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7,646</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7,646</w:t>
            </w: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Technology licensing and other</w:t>
            </w: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4,943</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4,943</w:t>
            </w:r>
          </w:p>
        </w:tc>
        <w:tc>
          <w:tcPr>
            <w:tcW w:w="0" w:type="dxa"/>
            <w:vAlign w:val="bottom"/>
          </w:tcPr>
          <w:p>
            <w:pPr>
              <w:spacing w:after="0"/>
              <w:rPr>
                <w:sz w:val="1"/>
                <w:szCs w:val="1"/>
                <w:color w:val="auto"/>
              </w:rPr>
            </w:pPr>
          </w:p>
        </w:tc>
      </w:tr>
      <w:tr>
        <w:trPr>
          <w:trHeight w:val="217"/>
        </w:trPr>
        <w:tc>
          <w:tcPr>
            <w:tcW w:w="2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37,561</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11,576</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7,646</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4,943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61,725</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(1,783)</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(7,656)</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(12,519)</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(20,648)</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(21,008)</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(5,364)</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(5,776)</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(21,709)</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(7,507)</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(7,656)</w:t>
            </w:r>
          </w:p>
        </w:tc>
        <w:tc>
          <w:tcPr>
            <w:tcW w:w="4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(2,432)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(39,304)</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Contribution by business area</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15,852</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4,069</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2,511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22,422</w:t>
            </w: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8"/>
                <w:szCs w:val="18"/>
                <w:b w:val="1"/>
                <w:bCs w:val="1"/>
                <w:color w:val="auto"/>
                <w:w w:val="90"/>
              </w:rPr>
              <w:t>Three Months Ended June 30, 2020</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40" w:type="dxa"/>
            <w:vAlign w:val="bottom"/>
          </w:tcPr>
          <w:p>
            <w:pPr>
              <w:spacing w:after="0"/>
              <w:rPr>
                <w:sz w:val="18"/>
                <w:szCs w:val="18"/>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Browser and News</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Fintech</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Retail</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17,626</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17,626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12,669</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12,669</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11,816</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11,816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11,398</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11,398</w:t>
            </w: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Technology licensing and other</w:t>
            </w: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1,921</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1,921</w:t>
            </w:r>
          </w:p>
        </w:tc>
        <w:tc>
          <w:tcPr>
            <w:tcW w:w="0" w:type="dxa"/>
            <w:vAlign w:val="bottom"/>
          </w:tcPr>
          <w:p>
            <w:pPr>
              <w:spacing w:after="0"/>
              <w:rPr>
                <w:sz w:val="1"/>
                <w:szCs w:val="1"/>
                <w:color w:val="auto"/>
              </w:rPr>
            </w:pPr>
          </w:p>
        </w:tc>
      </w:tr>
      <w:tr>
        <w:trPr>
          <w:trHeight w:val="217"/>
        </w:trPr>
        <w:tc>
          <w:tcPr>
            <w:tcW w:w="2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30,295</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11,816</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11,398</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1,921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55,434</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gridSpan w:val="2"/>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(2,067)</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(11,454)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(17,416)</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(9,817)</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(10,196)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(1,494)</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(11,916)</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(3,724)</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(11,454)</w:t>
            </w:r>
          </w:p>
        </w:tc>
        <w:tc>
          <w:tcPr>
            <w:tcW w:w="4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(29,106)</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Contribution by business area</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18,379</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8,092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w:t>
            </w:r>
          </w:p>
        </w:tc>
        <w:tc>
          <w:tcPr>
            <w:tcW w:w="4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26,328</w:t>
            </w: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9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8"/>
                <w:szCs w:val="18"/>
                <w:b w:val="1"/>
                <w:bCs w:val="1"/>
                <w:color w:val="auto"/>
                <w:w w:val="90"/>
              </w:rPr>
              <w:t>Six Months Ended June 30, 2019</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40" w:type="dxa"/>
            <w:vAlign w:val="bottom"/>
          </w:tcPr>
          <w:p>
            <w:pPr>
              <w:spacing w:after="0"/>
              <w:rPr>
                <w:sz w:val="18"/>
                <w:szCs w:val="18"/>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Browser and News</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Fintech</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Retail</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41,987</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41,987</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30,300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30,300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16,608</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16,608</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14,465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14,465</w:t>
            </w: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Technology licensing and other</w:t>
            </w: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8,208</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8,208</w:t>
            </w:r>
          </w:p>
        </w:tc>
        <w:tc>
          <w:tcPr>
            <w:tcW w:w="0" w:type="dxa"/>
            <w:vAlign w:val="bottom"/>
          </w:tcPr>
          <w:p>
            <w:pPr>
              <w:spacing w:after="0"/>
              <w:rPr>
                <w:sz w:val="1"/>
                <w:szCs w:val="1"/>
                <w:color w:val="auto"/>
              </w:rPr>
            </w:pPr>
          </w:p>
        </w:tc>
      </w:tr>
      <w:tr>
        <w:trPr>
          <w:trHeight w:val="217"/>
        </w:trPr>
        <w:tc>
          <w:tcPr>
            <w:tcW w:w="2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72,287</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16,608</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14,465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8,208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111,568</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gridSpan w:val="2"/>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(1,213)</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(2,261)</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(21,153)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(34,823)</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(35,694)</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(7,088)</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(7,633)</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(36,581)</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(10,220)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(14,409)</w:t>
            </w:r>
          </w:p>
        </w:tc>
        <w:tc>
          <w:tcPr>
            <w:tcW w:w="4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(3,270)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(64,480)</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Contribution by business area</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35,706</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6,388</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4,938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47,087</w:t>
            </w: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8"/>
                <w:szCs w:val="18"/>
                <w:b w:val="1"/>
                <w:bCs w:val="1"/>
                <w:color w:val="auto"/>
                <w:w w:val="90"/>
              </w:rPr>
              <w:t>Six Months Ended June 30, 2020</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40" w:type="dxa"/>
            <w:vAlign w:val="bottom"/>
          </w:tcPr>
          <w:p>
            <w:pPr>
              <w:spacing w:after="0"/>
              <w:rPr>
                <w:sz w:val="18"/>
                <w:szCs w:val="18"/>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Browser and News</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Fintech</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Retail</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37,290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37,290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29,421</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29,421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106,501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106,501</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16,075</w:t>
            </w: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Technology licensing and other</w:t>
            </w: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4,361</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4,361</w:t>
            </w:r>
          </w:p>
        </w:tc>
        <w:tc>
          <w:tcPr>
            <w:tcW w:w="0" w:type="dxa"/>
            <w:vAlign w:val="bottom"/>
          </w:tcPr>
          <w:p>
            <w:pPr>
              <w:spacing w:after="0"/>
              <w:rPr>
                <w:sz w:val="1"/>
                <w:szCs w:val="1"/>
                <w:color w:val="auto"/>
              </w:rPr>
            </w:pPr>
          </w:p>
        </w:tc>
      </w:tr>
      <w:tr>
        <w:trPr>
          <w:trHeight w:val="217"/>
        </w:trPr>
        <w:tc>
          <w:tcPr>
            <w:tcW w:w="2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66,711</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106,501</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16,075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4,361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193,647</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gridSpan w:val="2"/>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(3,793)</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(22,260)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(15,902)</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(3,078)</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(45,033)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(24,255)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(3,880)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(28,278)</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(70,630)</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(70,982)</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580" w:right="3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Direct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(28,400)</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(96,770)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(15,902)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(3,221)</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(144,293)</w:t>
            </w:r>
          </w:p>
        </w:tc>
      </w:tr>
      <w:tr>
        <w:trPr>
          <w:trHeight w:val="209"/>
        </w:trPr>
        <w:tc>
          <w:tcPr>
            <w:tcW w:w="29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b w:val="1"/>
                <w:bCs w:val="1"/>
                <w:color w:val="auto"/>
              </w:rPr>
              <w:t>Contribution by business area</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38,311</w:t>
            </w:r>
          </w:p>
        </w:tc>
        <w:tc>
          <w:tcPr>
            <w:tcW w:w="2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9,731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1,140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49,355</w:t>
            </w:r>
          </w:p>
        </w:tc>
      </w:tr>
      <w:tr>
        <w:trPr>
          <w:trHeight w:val="20"/>
        </w:trPr>
        <w:tc>
          <w:tcPr>
            <w:tcW w:w="29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2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60" w:type="dxa"/>
            <w:vAlign w:val="bottom"/>
            <w:gridSpan w:val="4"/>
          </w:tcPr>
          <w:p>
            <w:pPr>
              <w:spacing w:after="0"/>
              <w:rPr>
                <w:sz w:val="20"/>
                <w:szCs w:val="20"/>
                <w:color w:val="auto"/>
              </w:rPr>
            </w:pPr>
            <w:r>
              <w:rPr>
                <w:rFonts w:ascii="Arial" w:cs="Arial" w:eastAsia="Arial" w:hAnsi="Arial"/>
                <w:sz w:val="18"/>
                <w:szCs w:val="18"/>
                <w:color w:val="auto"/>
                <w:w w:val="92"/>
              </w:rPr>
              <w:t>The table below specifies the amounts of personnel expenses including share-based remuneration: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27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2540" w:type="dxa"/>
            <w:vAlign w:val="bottom"/>
            <w:gridSpan w:val="4"/>
          </w:tcPr>
          <w:p>
            <w:pPr>
              <w:ind w:left="16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expenses excluding share-based remuneration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11,778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1,576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13,311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23,608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37,468</w:t>
            </w:r>
          </w:p>
        </w:tc>
      </w:tr>
      <w:tr>
        <w:trPr>
          <w:trHeight w:val="554"/>
        </w:trPr>
        <w:tc>
          <w:tcPr>
            <w:tcW w:w="58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expenses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The table below specifies the nature of other expenses: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27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2540" w:type="dxa"/>
            <w:vAlign w:val="bottom"/>
            <w:gridSpan w:val="4"/>
          </w:tcPr>
          <w:p>
            <w:pPr>
              <w:ind w:left="16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expenses</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Hosting</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Audit, legal and other advisory services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2,338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3,971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4,117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fees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Rent and other office expense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1,249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3,234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486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5,772</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8,012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19,598</w:t>
            </w:r>
          </w:p>
        </w:tc>
      </w:tr>
      <w:tr>
        <w:trPr>
          <w:trHeight w:val="555"/>
        </w:trPr>
        <w:tc>
          <w:tcPr>
            <w:tcW w:w="58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Non-IFRS financial measures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4"/>
            <w:vMerge w:val="restart"/>
          </w:tcPr>
          <w:p>
            <w:pPr>
              <w:spacing w:after="0"/>
              <w:rPr>
                <w:sz w:val="20"/>
                <w:szCs w:val="20"/>
                <w:color w:val="auto"/>
              </w:rPr>
            </w:pPr>
            <w:r>
              <w:rPr>
                <w:rFonts w:ascii="Arial" w:cs="Arial" w:eastAsia="Arial" w:hAnsi="Arial"/>
                <w:sz w:val="18"/>
                <w:szCs w:val="18"/>
                <w:color w:val="auto"/>
              </w:rPr>
              <w:t>[US$ thousands, except per share and ADS amounts]</w:t>
            </w:r>
          </w:p>
        </w:tc>
        <w:tc>
          <w:tcPr>
            <w:tcW w:w="27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25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10"/>
        </w:trPr>
        <w:tc>
          <w:tcPr>
            <w:tcW w:w="5980" w:type="dxa"/>
            <w:vAlign w:val="bottom"/>
            <w:gridSpan w:val="4"/>
            <w:vMerge w:val="continue"/>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86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8"/>
                <w:szCs w:val="18"/>
                <w:color w:val="auto"/>
              </w:rPr>
              <w:t>Reconciliation of net income (loss) to adjusted EBITDA</w:t>
            </w: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7,803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(3,722)</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Add: Income tax expense (benefit)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(1,016)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Net finance expense (income)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Add: Share of net loss (income) of associates and joint ventures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529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1,553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Change in fair value of preferred shares in associates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Add: Depreciation and amortization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4,281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8,423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Share-based remuneration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Add: Non-recurring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Other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3,053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12,657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(5,661)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gridSpan w:val="4"/>
          </w:tcPr>
          <w:p>
            <w:pPr>
              <w:spacing w:after="0" w:line="176" w:lineRule="exact"/>
              <w:rPr>
                <w:sz w:val="20"/>
                <w:szCs w:val="20"/>
                <w:color w:val="auto"/>
              </w:rPr>
            </w:pPr>
            <w:r>
              <w:rPr>
                <w:rFonts w:ascii="Arial" w:cs="Arial" w:eastAsia="Arial" w:hAnsi="Arial"/>
                <w:sz w:val="18"/>
                <w:szCs w:val="18"/>
                <w:color w:val="auto"/>
              </w:rPr>
              <w:t>Reconciliation of net income (loss) to adjusted net income</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7,803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(3,722)</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Add: Share-based remuneration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1,576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Amortization of acquired intangible 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Add: Non-recurring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line="216" w:lineRule="exact"/>
              <w:rPr>
                <w:sz w:val="20"/>
                <w:szCs w:val="20"/>
                <w:color w:val="auto"/>
              </w:rPr>
            </w:pPr>
            <w:r>
              <w:rPr>
                <w:rFonts w:ascii="Arial" w:cs="Arial" w:eastAsia="Arial" w:hAnsi="Arial"/>
                <w:sz w:val="16"/>
                <w:szCs w:val="16"/>
                <w:color w:val="auto"/>
              </w:rPr>
              <w:t xml:space="preserve">Income tax adjustment </w:t>
            </w:r>
            <w:r>
              <w:rPr>
                <w:rFonts w:ascii="Arial" w:cs="Arial" w:eastAsia="Arial" w:hAnsi="Arial"/>
                <w:sz w:val="25"/>
                <w:szCs w:val="25"/>
                <w:color w:val="auto"/>
                <w:vertAlign w:val="superscript"/>
              </w:rPr>
              <w:t>(1)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Adjusted 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5,859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millions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220.58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238.17</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Diluted, millions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224.65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239.92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224.31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Adjusted net income (loss) per ordinary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US$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Diluted, US$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Adjusted net income (loss) per ADS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US$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980" w:type="dxa"/>
            <w:vAlign w:val="bottom"/>
            <w:gridSpan w:val="4"/>
          </w:tcPr>
          <w:p>
            <w:pPr>
              <w:spacing w:after="0"/>
              <w:rPr>
                <w:sz w:val="20"/>
                <w:szCs w:val="20"/>
                <w:color w:val="auto"/>
              </w:rPr>
            </w:pPr>
            <w:r>
              <w:rPr>
                <w:rFonts w:ascii="Arial" w:cs="Arial" w:eastAsia="Arial" w:hAnsi="Arial"/>
                <w:sz w:val="18"/>
                <w:szCs w:val="18"/>
                <w:color w:val="auto"/>
              </w:rPr>
              <w:t>Diluted, US$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firstLine="8"/>
        <w:spacing w:after="0" w:line="232" w:lineRule="auto"/>
        <w:tabs>
          <w:tab w:leader="none" w:pos="22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Reversal of tax benefit related to the social security cost component of share-based remuneration and deferred taxes on the amortization of acquired intangible assets.</w:t>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2020-08-20T06:31:01Z</dcterms:created>
  <dcterms:modified xsi:type="dcterms:W3CDTF">2020-08-20T06:31:01Z</dcterms:modified>
</cp:coreProperties>
</file>