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328295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4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 Opera reports record second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Opera Limited</w:t>
      </w:r>
    </w:p>
    <w:p>
      <w:pPr>
        <w:sectPr>
          <w:pgSz w:w="11900" w:h="16838" w:orient="portrait"/>
          <w:cols w:equalWidth="0" w:num="1">
            <w:col w:w="10920"/>
          </w:cols>
          <w:pgMar w:left="320" w:top="580" w:right="6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Yahui Zhou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Yahui Zhou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&amp; Chief Executive Officer</w:t>
      </w:r>
    </w:p>
    <w:p>
      <w:pPr>
        <w:spacing w:after="0" w:line="211" w:lineRule="exact"/>
        <w:rPr>
          <w:sz w:val="20"/>
          <w:szCs w:val="20"/>
          <w:color w:val="auto"/>
        </w:rPr>
      </w:pPr>
    </w:p>
    <w:p>
      <w:pPr>
        <w:sectPr>
          <w:pgSz w:w="11900" w:h="16838" w:orient="portrait"/>
          <w:cols w:equalWidth="0" w:num="2">
            <w:col w:w="6120" w:space="80"/>
            <w:col w:w="4720"/>
          </w:cols>
          <w:pgMar w:left="320" w:top="580" w:right="65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30, 2022</w:t>
      </w:r>
    </w:p>
    <w:p>
      <w:pPr>
        <w:sectPr>
          <w:pgSz w:w="11900" w:h="16838" w:orient="portrait"/>
          <w:cols w:equalWidth="0" w:num="1">
            <w:col w:w="10920"/>
          </w:cols>
          <w:pgMar w:left="320" w:top="580" w:right="65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Reports Record Second Quarter 2022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and adjusted EBITDA both exceeded prior guidance ranges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Q2 revenue grew 29% year-over-year driven by strong product portfolio and growth in high ARPU markets, with adjusted EBITDA margin reaching 21% in the quarter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repurchased 1.3 million ADSs during the quarter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raises 2022 guidance, expecting 26% revenue growth at an 18% adjusted EBITDA margin at the midpoint</w:t>
      </w:r>
    </w:p>
    <w:p>
      <w:pPr>
        <w:spacing w:after="0" w:line="200" w:lineRule="exact"/>
        <w:rPr>
          <w:sz w:val="20"/>
          <w:szCs w:val="20"/>
          <w:color w:val="auto"/>
        </w:rPr>
      </w:pPr>
    </w:p>
    <w:p>
      <w:pPr>
        <w:spacing w:after="0" w:line="23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August 30, 2022 </w:t>
      </w:r>
      <w:r>
        <w:rPr>
          <w:rFonts w:ascii="Times New Roman" w:cs="Times New Roman" w:eastAsia="Times New Roman" w:hAnsi="Times New Roman"/>
          <w:sz w:val="18"/>
          <w:szCs w:val="18"/>
          <w:color w:val="auto"/>
        </w:rPr>
        <w:t>– Opera Limited (NASDAQ: OPRA), one of the world’s largest internet consumer brands with hundreds of millions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worldwide, today announced its unaudited consolidated financial results for the second quarter ended June 30,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Second Quarter 2022 Financial Highlights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32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Year-over-</w:t>
            </w:r>
          </w:p>
        </w:tc>
        <w:tc>
          <w:tcPr>
            <w:tcW w:w="23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Year-over-</w:t>
            </w:r>
          </w:p>
        </w:tc>
        <w:tc>
          <w:tcPr>
            <w:tcW w:w="0" w:type="dxa"/>
            <w:vAlign w:val="bottom"/>
          </w:tcPr>
          <w:p>
            <w:pPr>
              <w:spacing w:after="0"/>
              <w:rPr>
                <w:sz w:val="1"/>
                <w:szCs w:val="1"/>
                <w:color w:val="auto"/>
              </w:rPr>
            </w:pPr>
          </w:p>
        </w:tc>
      </w:tr>
      <w:tr>
        <w:trPr>
          <w:trHeight w:val="238"/>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[US$ thousands, except for margins and per ADS</w:t>
            </w: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0" w:type="dxa"/>
            <w:vAlign w:val="bottom"/>
          </w:tcPr>
          <w:p>
            <w:pPr>
              <w:spacing w:after="0"/>
              <w:rPr>
                <w:sz w:val="1"/>
                <w:szCs w:val="1"/>
                <w:color w:val="auto"/>
              </w:rPr>
            </w:pPr>
          </w:p>
        </w:tc>
      </w:tr>
      <w:tr>
        <w:trPr>
          <w:trHeight w:val="191"/>
        </w:trPr>
        <w:tc>
          <w:tcPr>
            <w:tcW w:w="4280" w:type="dxa"/>
            <w:vAlign w:val="bottom"/>
            <w:gridSpan w:val="3"/>
            <w:vMerge w:val="continue"/>
          </w:tcPr>
          <w:p>
            <w:pPr>
              <w:spacing w:after="0"/>
              <w:rPr>
                <w:sz w:val="16"/>
                <w:szCs w:val="16"/>
                <w:color w:val="auto"/>
              </w:rPr>
            </w:pP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16"/>
                <w:szCs w:val="16"/>
                <w:color w:val="auto"/>
              </w:rPr>
            </w:pP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vMerge w:val="restart"/>
          </w:tcPr>
          <w:p>
            <w:pPr>
              <w:spacing w:after="0"/>
              <w:rPr>
                <w:sz w:val="16"/>
                <w:szCs w:val="16"/>
                <w:color w:val="auto"/>
              </w:rPr>
            </w:pP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6"/>
                <w:szCs w:val="16"/>
                <w:color w:val="auto"/>
              </w:rPr>
            </w:pP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amounts]</w:t>
            </w: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60,161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77,834</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29.4%</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111,744</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149,417</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33.7%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44,287</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(5,836)</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44,926</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(15,271)</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5"/>
                <w:szCs w:val="25"/>
                <w:color w:val="auto"/>
                <w:vertAlign w:val="superscript"/>
              </w:rPr>
              <w:t>(1)</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(1,015)</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16,569</w:t>
            </w: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3,561</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23,918</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net income (loss) </w:t>
            </w:r>
            <w:r>
              <w:rPr>
                <w:rFonts w:ascii="Times New Roman" w:cs="Times New Roman" w:eastAsia="Times New Roman" w:hAnsi="Times New Roman"/>
                <w:sz w:val="25"/>
                <w:szCs w:val="25"/>
                <w:color w:val="auto"/>
                <w:vertAlign w:val="superscript"/>
              </w:rPr>
              <w:t>(1)</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49,144</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(3,364)</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53,751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(9,726)</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income (loss) per ADS, US$</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(0.05)</w:t>
            </w: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0.39</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Diluted adjusted net income (loss) per ADS, US$ </w:t>
            </w:r>
            <w:r>
              <w:rPr>
                <w:rFonts w:ascii="Times New Roman" w:cs="Times New Roman" w:eastAsia="Times New Roman" w:hAnsi="Times New Roman"/>
                <w:sz w:val="29"/>
                <w:szCs w:val="29"/>
                <w:color w:val="auto"/>
                <w:vertAlign w:val="superscript"/>
              </w:rPr>
              <w:t>(1)</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0.42</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0.46</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Please see the separate section "About Non-IFRS Financial Measures" for the definitions of adjusted EBITDA and adjusted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520"/>
        <w:spacing w:after="0" w:line="282" w:lineRule="auto"/>
        <w:rPr>
          <w:sz w:val="20"/>
          <w:szCs w:val="20"/>
          <w:color w:val="auto"/>
        </w:rPr>
      </w:pPr>
      <w:r>
        <w:rPr>
          <w:rFonts w:ascii="Times New Roman" w:cs="Times New Roman" w:eastAsia="Times New Roman" w:hAnsi="Times New Roman"/>
          <w:sz w:val="18"/>
          <w:szCs w:val="18"/>
          <w:color w:val="auto"/>
        </w:rPr>
        <w:t>“Despite a difficult macroeconomic backdrop, we delivered record revenue and continue to grow average revenue per user through a combination of product and high-value market initiatives” said Co-CEO Lin Song.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mindful that the current economic environment remains uncertain, impacted by both macroeconomic pressures and geopolitical tensions. Still, we see a lot of room for continued growth, and we combine prudence with a continued strong focus on our growth strategy," continued Mr. Song.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and Recent Business Highlights</w:t>
      </w:r>
    </w:p>
    <w:p>
      <w:pPr>
        <w:spacing w:after="0" w:line="229" w:lineRule="exact"/>
        <w:rPr>
          <w:sz w:val="20"/>
          <w:szCs w:val="20"/>
          <w:color w:val="auto"/>
        </w:rPr>
      </w:pPr>
    </w:p>
    <w:p>
      <w:pPr>
        <w:ind w:left="660" w:right="28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search and advertising revenue grew 31% year-over-year, driven by the strong ARPU trend of our browser and news user base, as well as leveraging our strong advertiser demand beyond our own inventory through our Opera Ads platform.</w:t>
      </w:r>
    </w:p>
    <w:p>
      <w:pPr>
        <w:ind w:left="660" w:right="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Opera’s average monthly active user base was 327 million MAUs in the quarter; with a continued directional shift towards higher ARPU markets. User growth was the strongest in the Americas, this time led by North America up 31% and South America up 4.1%, while we continue to focus investments in emerging markets more specifically towards users that we believe will be monetizable.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each user on average generated a record $0.94 of revenue on an annualized basis, up 46% compared to the second quarter of 2021.</w:t>
      </w:r>
    </w:p>
    <w:p>
      <w:pPr>
        <w:ind w:left="660" w:right="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GX gaming browser had over 17 million monthly active users across PC and mobile in the second quarter, with the underlying growth being partially offset by seasonality. Annualized ARPU of the GX browser is more than three times higher than the corporate average.</w:t>
      </w:r>
    </w:p>
    <w:p>
      <w:pPr>
        <w:ind w:left="660" w:right="160" w:hanging="328"/>
        <w:spacing w:after="0" w:line="265"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the second quarter our cash and marketable securities were $187 million. Combined with $173 million of receivables from the sale of Nanobank and Star X, this adds to a total of $360 million. We also continue to hold our 6.44% equity stake in OPay as an asset held for sale.</w:t>
      </w:r>
    </w:p>
    <w:p>
      <w:pPr>
        <w:ind w:left="66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repurchased 1.26 million ADSs at an average price of $5.30, for a total spend of $6.7 million, leaving $39 million or nearly 80% of our existing buyback authorization remaining.</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core business continues to generate revenue at levels greater than anticipated, at the same time we are moderating certain of our expenses, resulting in higher than expected EBITDA margins,” said CFO Frode Jacobsen. “Despite macroeconomic uncertainties, Opera is performing exceptionally well, and we feel confident in increasing our guidance for the year.”</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full year of 2022, Opera expects revenue of $313 million to $319 million, an increase from $300 million to $310 million, representing 26% year-over-year growth at the midpoint, and adjusted EBITDA to be between $53 million and $60 million, up from $50 million to $60 million or an 18% margin at the midpoint, versus 12% for 2021.</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third quarter of 2022, Opera expects revenue of $81 million to $83 million, representing 23% year-over-year growth at the midpoint. Adjusted EBITDA is expected to be between $14 million and $17 million, representing a 19% margin at the midpoint.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Updates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quarter, we collected the first installment of $28.4 million from the sale of our stake in Star X, with the remaining two installments due in 2023 and 2024.</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stake in Nanobank, we and the buyer have agreed to make certain modifications to the sales agreement. The purchase price will be paid in 16 quarterly installments with the final installment due in Q2 2026, offset by a 3% added interest on delayed funds relative to the original 8 installments, resulting in total consideration increasing from $127.1 million to $131.7 million. The first installment was $8.5 million, and the remaining quarterly installments will consequently be $8.2 million each. The buyer also agreed to pledge the sold shares to Opera as collateral to the remaining unpaid installments. The modified agreement also specifies how a future sale or merger of all outstanding shares of Nanobank would be treated, in the event it would happen during the payment period. If in such case the valuation ascribed to Nanobank is lower than the valuation adopted in our sale, the remaining installments will be adjusted to reflect the revised valuation. Further, if such future acquirer of Nanobank is a company in which Opera or its parent company is already an investor, and the acquirer purchases Nanobank with its own shares as consideration, the remaining installments due to Opera would also be immediately settled in the form of such shares as opposed to continued cash payments.</w:t>
      </w:r>
    </w:p>
    <w:p>
      <w:pPr>
        <w:spacing w:after="0" w:line="18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Opera has collected the first installment in full, of which $4.5 million was received within the second quarter and the remainder in July. The next installments are due in December and every third month thereafter.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2022 Consolidated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second quarter of 2021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29% to $77.8 million.</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increased by 13% to $33.7 million driven in particular by the growth of our PC footprint in western markets.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by 49% to $43.1 million, benefitting also from monetization growth within Opera News and our audience extension supported by the Opera Ads platform.</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licensing and other revenue was $1.0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decreased by 2% to $66.7 million.</w:t>
      </w:r>
    </w:p>
    <w:p>
      <w:pPr>
        <w:spacing w:after="0" w:line="31" w:lineRule="exact"/>
        <w:rPr>
          <w:sz w:val="20"/>
          <w:szCs w:val="20"/>
          <w:color w:val="auto"/>
        </w:rPr>
      </w:pPr>
    </w:p>
    <w:p>
      <w:pPr>
        <w:ind w:left="660" w:right="2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technology and platform fees, content cost and cost of inventory sold was $11.8 million, or 15% of revenue. Our audience extension carries inventory cost, but insignificant incremental expenses otherwise.</w:t>
      </w:r>
    </w:p>
    <w:p>
      <w:pPr>
        <w:ind w:left="660" w:right="2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share-based remuneration, were $19.1 million, a 3% increase. This expense consists of cash-based compensation expense of $17.6 million, a 6% increase year-over-year, and share-based remuneration expense of $1.5 million.</w:t>
      </w:r>
    </w:p>
    <w:p>
      <w:pPr>
        <w:ind w:left="660" w:right="5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were $25.3 million, a decrease of 28% year-over-year, or 26% sequentially versus the prior quarter and reflecting a prudent response to macroeconomic conditions.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 were $3.4 million, a 33% decrease year-over-year but relatively stable versus the prior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were $7.0 million, a 5%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$11.2 million compared to an operating loss of $7.9 million in the second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Other items </w:t>
      </w:r>
      <w:r>
        <w:rPr>
          <w:rFonts w:ascii="Times New Roman" w:cs="Times New Roman" w:eastAsia="Times New Roman" w:hAnsi="Times New Roman"/>
          <w:sz w:val="18"/>
          <w:szCs w:val="18"/>
          <w:color w:val="auto"/>
        </w:rPr>
        <w:t>in the quarter include a finance expense of $15.3 million associated with value fluctuations on our marketable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expense was $3.7 million in the quarter, somewhat elevated due to FX impacts on net deferred tax liabilities.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$5.8 million. This compared to a net income of $44.3 million in the second quarter of 2021. Net income in the second quarter of 2021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positively impacted by the recognition of gains from the partial sale of our equity stake in OPay.</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per ADS </w:t>
      </w:r>
      <w:r>
        <w:rPr>
          <w:rFonts w:ascii="Times New Roman" w:cs="Times New Roman" w:eastAsia="Times New Roman" w:hAnsi="Times New Roman"/>
          <w:sz w:val="18"/>
          <w:szCs w:val="18"/>
          <w:color w:val="auto"/>
        </w:rPr>
        <w:t>was $0.03 in the quarter. Each ADS represents two shares in Opera Limited. In the quarter, the weighted average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was 229.5 million, corresponding to 114.8 million ADSs.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$16.6 million, representing a 21% margin, compared to an adjusted EBITDA loss of $1.0 million in the second quarter of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excludes share-based remuneration and non-recurring expenses, as well as other income and discontinued operations.</w:t>
      </w:r>
    </w:p>
    <w:p>
      <w:pPr>
        <w:spacing w:after="0" w:line="203" w:lineRule="exact"/>
        <w:rPr>
          <w:sz w:val="20"/>
          <w:szCs w:val="20"/>
          <w:color w:val="auto"/>
        </w:rPr>
      </w:pPr>
    </w:p>
    <w:p>
      <w:pPr>
        <w:jc w:val="both"/>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Adjusted net loss </w:t>
      </w:r>
      <w:r>
        <w:rPr>
          <w:rFonts w:ascii="Times New Roman" w:cs="Times New Roman" w:eastAsia="Times New Roman" w:hAnsi="Times New Roman"/>
          <w:sz w:val="17"/>
          <w:szCs w:val="17"/>
          <w:color w:val="auto"/>
        </w:rPr>
        <w:t>was $3.4 million in the quarter, compared to adjusted net income of $49.1 million in the second quarter of 2021. Adjusted net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(loss) excludes share-based remuneration, non-recurring expenses, discontinued operations and amortization of intangible assets related to acquisitions.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net loss per ADS </w:t>
      </w:r>
      <w:r>
        <w:rPr>
          <w:rFonts w:ascii="Times New Roman" w:cs="Times New Roman" w:eastAsia="Times New Roman" w:hAnsi="Times New Roman"/>
          <w:sz w:val="18"/>
          <w:szCs w:val="18"/>
          <w:color w:val="auto"/>
        </w:rPr>
        <w:t>was $0.03 in the quarter.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posted Opera’s unaudited financial historical results by quarter since 2019 at </w:t>
      </w:r>
      <w:r>
        <w:rPr>
          <w:rFonts w:ascii="Times New Roman" w:cs="Times New Roman" w:eastAsia="Times New Roman" w:hAnsi="Times New Roman"/>
          <w:sz w:val="18"/>
          <w:szCs w:val="18"/>
          <w:u w:val="single" w:color="auto"/>
          <w:color w:val="auto"/>
        </w:rPr>
        <w:t>https://investor.opera.com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Opera’s management will host a conference call to discuss the second quarter 2022 financial results on Tuesday, August 30th at 8:00 am Eastern Time (EDT). Listeners may access the call by dialing the following numbers: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+1 877-830-2597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+10-800-714-1507 or +10-800-140-1382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+80-090-1494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 +47 80-01-3780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+44 0-808-101-1183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+1 785-424-1877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Confirmation Code: OPRAQ222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webcast of the conference call will be posted at </w:t>
      </w:r>
      <w:r>
        <w:rPr>
          <w:rFonts w:ascii="Times New Roman" w:cs="Times New Roman" w:eastAsia="Times New Roman" w:hAnsi="Times New Roman"/>
          <w:sz w:val="18"/>
          <w:szCs w:val="18"/>
          <w:u w:val="single" w:color="auto"/>
          <w:color w:val="auto"/>
        </w:rPr>
        <w:t>https://investor.opera.com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 tweeting highlights from our prepared remarks. Please follow along @InvestorOpera.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76"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Non-IFRS Financial Measures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based on IFRS, we use adjusted EBITDA and adjusted net income (loss),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excluding income tax expense (benefit), net finance expense (income), share of net loss (income) of equity-accounted investees, fair value loss (gain) from investments, depreciation and amortization, impairment of non-financial assets, impairment of equity-accounted investees, share-based remuneration, credit loss expense related to divested joint venture, non-recurring expenses, less other operating income and (profit) loss from discontinued operations.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excluding share-based remuneration, amortization cost related to acquired intangible assets, amortization of Nanobank intangible assets, credit loss expense related to divested joint venture and other non-recurring expenses, and (profit) loss from discontinued operations, adjusted for the associated tax benefit related to such items.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adjusted EBITDA and adjusted net income (loss)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 and its investees’ future financial and operating results, are made under the “safe harbor” provisions of the U.S. Private Securities Litigation Reform Act of 1995. You can identify these forward-looking statements by terminology such as “will,” “may,” “expect,” “believe,” “anticipate,” “intend,” “aim,” “estimate,” “intend,” “seek,”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its investees, and the industry in which they operate. Potential risks and uncertainties include, but are not limited to, those relating to: the duration and development of the conflict in Ukraine and the COVID-19 pandemic, as well as resulting changes in consumer behaviors; the outcome of regulatory processes or litigation; the Company and its goals and strategies; expected development and launch, and market acceptance, of products and services; Company’s expectations regarding demand for and market acceptance of its brands, platforms and services; Company’s expectations regarding growth in its user base, user retention and level of engagement;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the Company has business.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is a global web innovator. Opera's browsers, gaming, Web3 and news products are the trusted choice of hundreds of millions of users worldwide.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is headquartered in Oslo, Norway and listed on the NASDAQ stock exchange (OPRA). Download the Opera browser from www.opera.com.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Opera at www.investor.opera.com or on Twitter @InvestorOpera.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 of Operations</w:t>
            </w:r>
          </w:p>
        </w:tc>
        <w:tc>
          <w:tcPr>
            <w:tcW w:w="218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thousands, except per ADS and share amounts]</w:t>
            </w:r>
          </w:p>
        </w:tc>
        <w:tc>
          <w:tcPr>
            <w:tcW w:w="120" w:type="dxa"/>
            <w:vAlign w:val="bottom"/>
            <w:vMerge w:val="restart"/>
          </w:tcPr>
          <w:p>
            <w:pPr>
              <w:spacing w:after="0"/>
              <w:rPr>
                <w:sz w:val="24"/>
                <w:szCs w:val="24"/>
                <w:color w:val="auto"/>
              </w:rPr>
            </w:pPr>
          </w:p>
        </w:tc>
        <w:tc>
          <w:tcPr>
            <w:tcW w:w="27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60,161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149,417</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(9,719)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(15,504)</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 expenses including share-based remuneration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(18,461)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(19,071)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(35,556)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(35,499)</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(35,301)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(25,285)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(59,424)</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(11,819)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(68,173)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(66,664)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(121,271)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(137,077)</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gain on investments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expense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(15,341)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(25,288)</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foreign exchange loss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finance expense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(23,498)</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Profit (loss) before income taxes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42,334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42,145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owners of the parent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44,287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44,926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ordinary shares outstanding:</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Basic, millions </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230.56</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Diluted, millions </w:t>
            </w:r>
            <w:r>
              <w:rPr>
                <w:rFonts w:ascii="Times New Roman" w:cs="Times New Roman" w:eastAsia="Times New Roman" w:hAnsi="Times New Roman"/>
                <w:sz w:val="25"/>
                <w:szCs w:val="25"/>
                <w:color w:val="auto"/>
                <w:vertAlign w:val="superscript"/>
              </w:rPr>
              <w:t>(2)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230.56</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ADS and per share for net income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earnings per ADS, US$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ADS, US$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earnings per share, US$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 US$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total number of shares outstanding for Opera Limited was 228,240,012, equivalent to 114,120,006 ADSs.</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net dilutive impact of employee equity grants. For the three- and six-months periods ended June 30, 2022, diluted weighted-average number of ordinary shares outstanding exclude the effects of 1,916,775 ADSs that will be issued at the vesting of employee equity grants because these potential shares would have had anti-dilutive effects on the diluted net loss per ADS and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Comprehensive Income</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20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6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44,287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(15,271)</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 in subsequent</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periods (net of tax):</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198"/>
        </w:trPr>
        <w:tc>
          <w:tcPr>
            <w:tcW w:w="606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of share of other comprehensive income (loss) of equity-</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1"/>
        </w:trPr>
        <w:tc>
          <w:tcPr>
            <w:tcW w:w="60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accounted investees</w:t>
            </w:r>
          </w:p>
        </w:tc>
        <w:tc>
          <w:tcPr>
            <w:tcW w:w="132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attributable to owners of the parent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45,623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(17,403)</w:t>
            </w:r>
          </w:p>
        </w:tc>
        <w:tc>
          <w:tcPr>
            <w:tcW w:w="0" w:type="dxa"/>
            <w:vAlign w:val="bottom"/>
          </w:tcPr>
          <w:p>
            <w:pPr>
              <w:spacing w:after="0"/>
              <w:rPr>
                <w:sz w:val="1"/>
                <w:szCs w:val="1"/>
                <w:color w:val="auto"/>
              </w:rPr>
            </w:pPr>
          </w:p>
        </w:tc>
      </w:tr>
      <w:tr>
        <w:trPr>
          <w:trHeight w:val="554"/>
        </w:trPr>
        <w:tc>
          <w:tcPr>
            <w:tcW w:w="47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Financial Position</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43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00" w:type="dxa"/>
            <w:vAlign w:val="bottom"/>
            <w:vMerge w:val="restart"/>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12,263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11,344</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103,627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103,170</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430,378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429,492</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receivables from sale of investments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99,707</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Non-current investments and financial assets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551,474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648,669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43,864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48,790</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receivables from sale of investments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73,018</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18,538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78,135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47,472</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102,876</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cash equivalents, and marketable securities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181,011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186,872</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288,379</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540,986</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1,092,460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1,053,750</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paid in capital</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764,381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754,513</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249,155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237,370</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 attributable to owners of the parent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1,013,039</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989,254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 and other loans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8,635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38,378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38,752</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liabilities and other loans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11,427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70,786</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79,421</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1,092,460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1,053,750</w:t>
            </w:r>
          </w:p>
        </w:tc>
        <w:tc>
          <w:tcPr>
            <w:tcW w:w="0" w:type="dxa"/>
            <w:vAlign w:val="bottom"/>
          </w:tcPr>
          <w:p>
            <w:pPr>
              <w:spacing w:after="0"/>
              <w:rPr>
                <w:sz w:val="1"/>
                <w:szCs w:val="1"/>
                <w:color w:val="auto"/>
              </w:rPr>
            </w:pPr>
          </w:p>
        </w:tc>
      </w:tr>
      <w:tr>
        <w:trPr>
          <w:trHeight w:val="555"/>
        </w:trPr>
        <w:tc>
          <w:tcPr>
            <w:tcW w:w="4320" w:type="dxa"/>
            <w:vAlign w:val="bottom"/>
            <w:tcBorders>
              <w:top w:val="single" w:sz="8" w:color="CCEEFF"/>
              <w:bottom w:val="single" w:sz="8" w:color="auto"/>
            </w:tcBorders>
          </w:tcPr>
          <w:p>
            <w:pPr>
              <w:spacing w:after="0"/>
              <w:rPr>
                <w:sz w:val="24"/>
                <w:szCs w:val="24"/>
                <w:color w:val="auto"/>
              </w:rPr>
            </w:pPr>
          </w:p>
        </w:tc>
        <w:tc>
          <w:tcPr>
            <w:tcW w:w="36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 of Changes in Equity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six months ended June 30, 2021: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 paid in</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owners of</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parent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765,129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283,334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1,048,895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45,623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2021</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764,381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330,710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1,096,217</w:t>
            </w:r>
          </w:p>
        </w:tc>
        <w:tc>
          <w:tcPr>
            <w:tcW w:w="0" w:type="dxa"/>
            <w:vAlign w:val="bottom"/>
          </w:tcPr>
          <w:p>
            <w:pPr>
              <w:spacing w:after="0"/>
              <w:rPr>
                <w:sz w:val="1"/>
                <w:szCs w:val="1"/>
                <w:color w:val="auto"/>
              </w:rPr>
            </w:pPr>
          </w:p>
        </w:tc>
      </w:tr>
      <w:tr>
        <w:trPr>
          <w:trHeight w:val="683"/>
        </w:trPr>
        <w:tc>
          <w:tcPr>
            <w:tcW w:w="46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 the six months ended June 30, 2022:</w:t>
            </w: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20" w:type="dxa"/>
            <w:vAlign w:val="bottom"/>
            <w:tcBorders>
              <w:top w:val="single" w:sz="8" w:color="CCEEFF"/>
            </w:tcBorders>
            <w:vMerge w:val="restart"/>
          </w:tcPr>
          <w:p>
            <w:pPr>
              <w:spacing w:after="0"/>
              <w:rPr>
                <w:sz w:val="24"/>
                <w:szCs w:val="24"/>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100" w:type="dxa"/>
            <w:vAlign w:val="bottom"/>
            <w:tcBorders>
              <w:top w:val="single" w:sz="8" w:color="CCEEFF"/>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 paid in</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owners of</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parent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764,381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249,155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1,013,039</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(15,271)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(17,404)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754,513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237,371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989,254</w:t>
            </w:r>
          </w:p>
        </w:tc>
        <w:tc>
          <w:tcPr>
            <w:tcW w:w="0" w:type="dxa"/>
            <w:vAlign w:val="bottom"/>
          </w:tcPr>
          <w:p>
            <w:pPr>
              <w:spacing w:after="0"/>
              <w:rPr>
                <w:sz w:val="1"/>
                <w:szCs w:val="1"/>
                <w:color w:val="auto"/>
              </w:rPr>
            </w:pPr>
          </w:p>
        </w:tc>
      </w:tr>
      <w:tr>
        <w:trPr>
          <w:trHeight w:val="554"/>
        </w:trPr>
        <w:tc>
          <w:tcPr>
            <w:tcW w:w="43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Cash Flows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8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21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6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bottom w:val="single" w:sz="8" w:color="auto"/>
            </w:tcBorders>
            <w:vMerge w:val="continue"/>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Profit (loss) before income taxes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42,334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42,145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(10,922)</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Adjustments to reconcile profit (loss) before income taxes to net cash flow:</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gain on investments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finance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23,498</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16"/>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prepayments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inventories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loans to customers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deferred revenue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other liabilities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15,088</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Development expenditure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subsidiary, net of cash acquired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 of shares in associates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32,879</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 (purchase) of listed equity instruments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7,044</w:t>
            </w: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income received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flow from investing activities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34,441</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 on loans and borrowings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37,338</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102,876</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178,481</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178,481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8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Details by Business Area</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tables below specify the contribution by each business area.</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3800" w:type="dxa"/>
            <w:vAlign w:val="bottom"/>
            <w:tcBorders>
              <w:bottom w:val="single" w:sz="8" w:color="auto"/>
            </w:tcBorders>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Browser and News</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29,782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29,782</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28,935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28,942</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8"/>
                <w:szCs w:val="18"/>
                <w:color w:val="auto"/>
              </w:rPr>
            </w:pPr>
          </w:p>
        </w:tc>
      </w:tr>
      <w:tr>
        <w:trPr>
          <w:trHeight w:val="210"/>
        </w:trPr>
        <w:tc>
          <w:tcPr>
            <w:tcW w:w="63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58,717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60,161</w:t>
            </w:r>
          </w:p>
        </w:tc>
      </w:tr>
      <w:tr>
        <w:trPr>
          <w:trHeight w:val="216"/>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(730)</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(35,085)</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(35,301)</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r>
      <w:tr>
        <w:trPr>
          <w:trHeight w:val="20"/>
        </w:trPr>
        <w:tc>
          <w:tcPr>
            <w:tcW w:w="26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(37,859)</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(38,273)</w:t>
            </w:r>
          </w:p>
        </w:tc>
      </w:tr>
      <w:tr>
        <w:trPr>
          <w:trHeight w:val="250"/>
        </w:trPr>
        <w:tc>
          <w:tcPr>
            <w:tcW w:w="6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39"/>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3800" w:type="dxa"/>
            <w:vAlign w:val="bottom"/>
            <w:tcBorders>
              <w:bottom w:val="single" w:sz="8" w:color="auto"/>
            </w:tcBorders>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Browser and News</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33,734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33,734</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43,077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43,085</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r>
      <w:tr>
        <w:trPr>
          <w:trHeight w:val="210"/>
        </w:trPr>
        <w:tc>
          <w:tcPr>
            <w:tcW w:w="63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77,109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77,834</w:t>
            </w:r>
          </w:p>
        </w:tc>
      </w:tr>
      <w:tr>
        <w:trPr>
          <w:trHeight w:val="216"/>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(9,719)</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(25,196)</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(25,285)</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6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(37,105)</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(37,195)</w:t>
            </w:r>
          </w:p>
        </w:tc>
      </w:tr>
      <w:tr>
        <w:trPr>
          <w:trHeight w:val="250"/>
        </w:trPr>
        <w:tc>
          <w:tcPr>
            <w:tcW w:w="6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40"/>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3800" w:type="dxa"/>
            <w:vAlign w:val="bottom"/>
            <w:tcBorders>
              <w:bottom w:val="single" w:sz="8" w:color="auto"/>
            </w:tcBorders>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Browser and News</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56,507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56,507</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52,340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52,372</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8"/>
                <w:szCs w:val="18"/>
                <w:color w:val="auto"/>
              </w:rPr>
            </w:pPr>
          </w:p>
        </w:tc>
      </w:tr>
      <w:tr>
        <w:trPr>
          <w:trHeight w:val="210"/>
        </w:trPr>
        <w:tc>
          <w:tcPr>
            <w:tcW w:w="63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108,847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111,744</w:t>
            </w:r>
          </w:p>
        </w:tc>
      </w:tr>
      <w:tr>
        <w:trPr>
          <w:trHeight w:val="216"/>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(1,649)</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(1,984)</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(1,564)</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(58,250)</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(58,658)</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26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(62,978)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(801)</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(63,779)</w:t>
            </w:r>
          </w:p>
        </w:tc>
      </w:tr>
      <w:tr>
        <w:trPr>
          <w:trHeight w:val="250"/>
        </w:trPr>
        <w:tc>
          <w:tcPr>
            <w:tcW w:w="6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39"/>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3800" w:type="dxa"/>
            <w:vAlign w:val="bottom"/>
            <w:tcBorders>
              <w:bottom w:val="single" w:sz="8" w:color="auto"/>
            </w:tcBorders>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2022</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area</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Browser and News</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Search</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65,760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65,760</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81,521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81,535</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8"/>
                <w:szCs w:val="18"/>
                <w:color w:val="auto"/>
              </w:rPr>
            </w:pPr>
          </w:p>
        </w:tc>
      </w:tr>
      <w:tr>
        <w:trPr>
          <w:trHeight w:val="210"/>
        </w:trPr>
        <w:tc>
          <w:tcPr>
            <w:tcW w:w="63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147,927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149,417</w:t>
            </w:r>
          </w:p>
        </w:tc>
      </w:tr>
      <w:tr>
        <w:trPr>
          <w:trHeight w:val="216"/>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Content cost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inventory sold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(15,504)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(15,504)</w:t>
            </w:r>
          </w:p>
        </w:tc>
      </w:tr>
      <w:tr>
        <w:trPr>
          <w:trHeight w:val="216"/>
        </w:trPr>
        <w:tc>
          <w:tcPr>
            <w:tcW w:w="6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(59,238)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(59,424)</w:t>
            </w:r>
          </w:p>
        </w:tc>
      </w:tr>
      <w:tr>
        <w:trPr>
          <w:trHeight w:val="216"/>
        </w:trPr>
        <w:tc>
          <w:tcPr>
            <w:tcW w:w="6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26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direct expenses</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(79,242)</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(79,426)</w:t>
            </w:r>
          </w:p>
        </w:tc>
      </w:tr>
      <w:tr>
        <w:trPr>
          <w:trHeight w:val="249"/>
        </w:trPr>
        <w:tc>
          <w:tcPr>
            <w:tcW w:w="6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by business area</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68,685</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5"/>
        </w:trPr>
        <w:tc>
          <w:tcPr>
            <w:tcW w:w="2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96"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Personnel Expenses Including Share-based Remuneration</w:t>
            </w:r>
          </w:p>
        </w:tc>
        <w:tc>
          <w:tcPr>
            <w:tcW w:w="16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table below specifies the amounts of personnel expenses including share-based remuneration.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20" w:type="dxa"/>
            <w:vAlign w:val="bottom"/>
            <w:vMerge w:val="restart"/>
          </w:tcPr>
          <w:p>
            <w:pPr>
              <w:spacing w:after="0"/>
              <w:rPr>
                <w:sz w:val="24"/>
                <w:szCs w:val="24"/>
                <w:color w:val="auto"/>
              </w:rPr>
            </w:pPr>
          </w:p>
        </w:tc>
        <w:tc>
          <w:tcPr>
            <w:tcW w:w="26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 excluding share-based remuneration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32,140</w:t>
            </w:r>
          </w:p>
        </w:tc>
        <w:tc>
          <w:tcPr>
            <w:tcW w:w="0" w:type="dxa"/>
            <w:vAlign w:val="bottom"/>
          </w:tcPr>
          <w:p>
            <w:pPr>
              <w:spacing w:after="0"/>
              <w:rPr>
                <w:sz w:val="1"/>
                <w:szCs w:val="1"/>
                <w:color w:val="auto"/>
              </w:rPr>
            </w:pPr>
          </w:p>
        </w:tc>
      </w:tr>
      <w:tr>
        <w:trPr>
          <w:trHeight w:val="216"/>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Share-based remuneration, including related social security costs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personnel expenses including share-based remuneration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35,499</w:t>
            </w:r>
          </w:p>
        </w:tc>
        <w:tc>
          <w:tcPr>
            <w:tcW w:w="0" w:type="dxa"/>
            <w:vAlign w:val="bottom"/>
          </w:tcPr>
          <w:p>
            <w:pPr>
              <w:spacing w:after="0"/>
              <w:rPr>
                <w:sz w:val="1"/>
                <w:szCs w:val="1"/>
                <w:color w:val="auto"/>
              </w:rPr>
            </w:pPr>
          </w:p>
        </w:tc>
      </w:tr>
      <w:tr>
        <w:trPr>
          <w:trHeight w:val="588"/>
        </w:trPr>
        <w:tc>
          <w:tcPr>
            <w:tcW w:w="2060" w:type="dxa"/>
            <w:vAlign w:val="bottom"/>
            <w:tcBorders>
              <w:top w:val="single" w:sz="8" w:color="CCEEFF"/>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Other Operating Expenses</w:t>
            </w:r>
          </w:p>
        </w:tc>
        <w:tc>
          <w:tcPr>
            <w:tcW w:w="4000" w:type="dxa"/>
            <w:vAlign w:val="bottom"/>
            <w:tcBorders>
              <w:top w:val="single" w:sz="8" w:color="CCEEFF"/>
            </w:tcBorders>
            <w:gridSpan w:val="3"/>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specifies the nature of other operating expenses.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[US$ thousands]</w:t>
            </w:r>
          </w:p>
        </w:tc>
        <w:tc>
          <w:tcPr>
            <w:tcW w:w="120" w:type="dxa"/>
            <w:vAlign w:val="bottom"/>
            <w:vMerge w:val="restart"/>
          </w:tcPr>
          <w:p>
            <w:pPr>
              <w:spacing w:after="0"/>
              <w:rPr>
                <w:sz w:val="24"/>
                <w:szCs w:val="24"/>
                <w:color w:val="auto"/>
              </w:rPr>
            </w:pPr>
          </w:p>
        </w:tc>
        <w:tc>
          <w:tcPr>
            <w:tcW w:w="26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16"/>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16"/>
        </w:trPr>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6"/>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Rent and other office expense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6"/>
        </w:trPr>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13,933</w:t>
            </w:r>
          </w:p>
        </w:tc>
        <w:tc>
          <w:tcPr>
            <w:tcW w:w="0" w:type="dxa"/>
            <w:vAlign w:val="bottom"/>
          </w:tcPr>
          <w:p>
            <w:pPr>
              <w:spacing w:after="0"/>
              <w:rPr>
                <w:sz w:val="1"/>
                <w:szCs w:val="1"/>
                <w:color w:val="auto"/>
              </w:rPr>
            </w:pPr>
          </w:p>
        </w:tc>
      </w:tr>
      <w:tr>
        <w:trPr>
          <w:trHeight w:val="555"/>
        </w:trPr>
        <w:tc>
          <w:tcPr>
            <w:tcW w:w="2060" w:type="dxa"/>
            <w:vAlign w:val="bottom"/>
            <w:tcBorders>
              <w:top w:val="single" w:sz="8" w:color="CCEEFF"/>
              <w:bottom w:val="single" w:sz="8" w:color="auto"/>
            </w:tcBorders>
          </w:tcPr>
          <w:p>
            <w:pPr>
              <w:spacing w:after="0"/>
              <w:rPr>
                <w:sz w:val="24"/>
                <w:szCs w:val="24"/>
                <w:color w:val="auto"/>
              </w:rPr>
            </w:pPr>
          </w:p>
        </w:tc>
        <w:tc>
          <w:tcPr>
            <w:tcW w:w="240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line="20" w:lineRule="exact"/>
              <w:rPr>
                <w:sz w:val="1"/>
                <w:szCs w:val="1"/>
                <w:color w:val="auto"/>
              </w:rPr>
            </w:pPr>
          </w:p>
        </w:tc>
      </w:tr>
      <w:tr>
        <w:trPr>
          <w:trHeight w:val="453"/>
        </w:trPr>
        <w:tc>
          <w:tcPr>
            <w:tcW w:w="5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[US$ thousands, except per ADS and share amounts]</w:t>
            </w:r>
          </w:p>
        </w:tc>
        <w:tc>
          <w:tcPr>
            <w:tcW w:w="120" w:type="dxa"/>
            <w:vAlign w:val="bottom"/>
            <w:vMerge w:val="restart"/>
          </w:tcPr>
          <w:p>
            <w:pPr>
              <w:spacing w:after="0"/>
              <w:rPr>
                <w:sz w:val="24"/>
                <w:szCs w:val="24"/>
                <w:color w:val="auto"/>
              </w:rPr>
            </w:pPr>
          </w:p>
        </w:tc>
        <w:tc>
          <w:tcPr>
            <w:tcW w:w="2640" w:type="dxa"/>
            <w:vAlign w:val="bottom"/>
            <w:gridSpan w:val="4"/>
            <w:vMerge w:val="continue"/>
          </w:tcPr>
          <w:p>
            <w:pPr>
              <w:spacing w:after="0"/>
              <w:rPr>
                <w:sz w:val="24"/>
                <w:szCs w:val="24"/>
                <w:color w:val="auto"/>
              </w:rPr>
            </w:pPr>
          </w:p>
        </w:tc>
        <w:tc>
          <w:tcPr>
            <w:tcW w:w="25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gridSpan w:val="4"/>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6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tcBorders>
              <w:top w:val="single" w:sz="8" w:color="CCEEFF"/>
            </w:tcBorders>
            <w:gridSpan w:val="3"/>
          </w:tcPr>
          <w:p>
            <w:pPr>
              <w:spacing w:after="0"/>
              <w:rPr>
                <w:sz w:val="18"/>
                <w:szCs w:val="18"/>
                <w:color w:val="auto"/>
              </w:rPr>
            </w:pPr>
          </w:p>
        </w:tc>
        <w:tc>
          <w:tcPr>
            <w:tcW w:w="13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44,287</w:t>
            </w:r>
          </w:p>
        </w:tc>
        <w:tc>
          <w:tcPr>
            <w:tcW w:w="13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(5,836)</w:t>
            </w:r>
          </w:p>
        </w:tc>
        <w:tc>
          <w:tcPr>
            <w:tcW w:w="13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44,926</w:t>
            </w:r>
          </w:p>
        </w:tc>
        <w:tc>
          <w:tcPr>
            <w:tcW w:w="122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(15,271)</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finance expense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23,498</w:t>
            </w:r>
          </w:p>
        </w:tc>
        <w:tc>
          <w:tcPr>
            <w:tcW w:w="0" w:type="dxa"/>
            <w:vAlign w:val="bottom"/>
          </w:tcPr>
          <w:p>
            <w:pPr>
              <w:spacing w:after="0"/>
              <w:rPr>
                <w:sz w:val="1"/>
                <w:szCs w:val="1"/>
                <w:color w:val="auto"/>
              </w:rPr>
            </w:pPr>
          </w:p>
        </w:tc>
      </w:tr>
      <w:tr>
        <w:trPr>
          <w:trHeight w:val="216"/>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expenses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Fair value gain on investments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net income (loss) to adjusted net income (loss):</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4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44,287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(15,271)</w:t>
            </w:r>
          </w:p>
        </w:tc>
        <w:tc>
          <w:tcPr>
            <w:tcW w:w="0" w:type="dxa"/>
            <w:vAlign w:val="bottom"/>
          </w:tcPr>
          <w:p>
            <w:pPr>
              <w:spacing w:after="0"/>
              <w:rPr>
                <w:sz w:val="1"/>
                <w:szCs w:val="1"/>
                <w:color w:val="auto"/>
              </w:rPr>
            </w:pPr>
          </w:p>
        </w:tc>
      </w:tr>
      <w:tr>
        <w:trPr>
          <w:trHeight w:val="216"/>
        </w:trPr>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 (deduct):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remuneration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Nanobank intangible assets </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Non-recurring expenses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Income tax adjustment </w:t>
            </w:r>
            <w:r>
              <w:rPr>
                <w:rFonts w:ascii="Times New Roman" w:cs="Times New Roman" w:eastAsia="Times New Roman" w:hAnsi="Times New Roman"/>
                <w:sz w:val="25"/>
                <w:szCs w:val="25"/>
                <w:color w:val="auto"/>
                <w:vertAlign w:val="superscript"/>
              </w:rPr>
              <w:t>(2)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53,751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 per ADS and per share: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adjusted net income (loss) per ADS, US$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Diluted adjusted net income (loss) per ADS, US$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60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adjusted net income (loss) per share, US$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4"/>
        </w:trPr>
        <w:tc>
          <w:tcPr>
            <w:tcW w:w="6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Diluted adjusted net income (loss) per share, US$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Nanobank intangible assets was included in the line "Share of net income (loss) of equity-accounted investees".</w:t>
      </w:r>
    </w:p>
    <w:p>
      <w:pPr>
        <w:spacing w:after="0" w:line="225"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of tax benefit related to the social security cost component of share-based remuneration and deferred taxes on the amortization of acquired intangible assets.</w:t>
      </w: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2022-08-30T06:09:41Z</dcterms:created>
  <dcterms:modified xsi:type="dcterms:W3CDTF">2022-08-30T06:09:41Z</dcterms:modified>
</cp:coreProperties>
</file>