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r>
        <w:rPr>
          <w:rFonts w:ascii="Arial" w:cs="Arial" w:eastAsia="Arial" w:hAnsi="Arial"/>
          <w:sz w:val="18"/>
          <w:szCs w:val="18"/>
          <w:color w:val="auto"/>
        </w:rPr>
        <w:t>*</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Opera Limited</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68373M107*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34" w:lineRule="exact"/>
        <w:rPr>
          <w:rFonts w:ascii="MS PGothic" w:cs="MS PGothic" w:eastAsia="MS PGothic" w:hAnsi="MS PGothic"/>
          <w:sz w:val="18"/>
          <w:szCs w:val="18"/>
          <w:color w:val="auto"/>
        </w:rPr>
      </w:pPr>
    </w:p>
    <w:p>
      <w:pPr>
        <w:jc w:val="both"/>
        <w:ind w:left="340" w:right="9400" w:hanging="8"/>
        <w:spacing w:after="0" w:line="243" w:lineRule="exact"/>
        <w:tabs>
          <w:tab w:leader="none" w:pos="98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21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80" w:firstLine="8"/>
        <w:spacing w:after="0" w:line="27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CUSIP number 68373M107 has been assigned to the American depositary shares (“ADSs”) of the issuer, which are quoted on The Nasdaq Global Market under the symbol “OPRA.” Each ADS represents two ordinary shares of the Issuer.</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68373M107</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auto"/>
              <w:right w:val="single" w:sz="8" w:color="auto"/>
            </w:tcBorders>
          </w:tcPr>
          <w:p>
            <w:pPr>
              <w:ind w:left="400"/>
              <w:spacing w:after="0" w:line="199" w:lineRule="exact"/>
              <w:rPr>
                <w:sz w:val="20"/>
                <w:szCs w:val="20"/>
                <w:color w:val="auto"/>
              </w:rPr>
            </w:pPr>
            <w:r>
              <w:rPr>
                <w:rFonts w:ascii="Arial" w:cs="Arial" w:eastAsia="Arial" w:hAnsi="Arial"/>
                <w:sz w:val="18"/>
                <w:szCs w:val="18"/>
                <w:color w:val="auto"/>
              </w:rPr>
              <w:t>1</w:t>
            </w:r>
          </w:p>
        </w:tc>
        <w:tc>
          <w:tcPr>
            <w:tcW w:w="1038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Qifei International Development Co., Ltd.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380" w:type="dxa"/>
            <w:vAlign w:val="bottom"/>
            <w:tcBorders>
              <w:right w:val="single" w:sz="8" w:color="auto"/>
            </w:tcBorders>
            <w:gridSpan w:val="3"/>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Person With</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46,750,000</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103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11</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2"/>
              </w:rPr>
              <w:t>21.2%*</w:t>
            </w:r>
          </w:p>
        </w:tc>
        <w:tc>
          <w:tcPr>
            <w:tcW w:w="5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12</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560" w:type="dxa"/>
            <w:vAlign w:val="bottom"/>
            <w:tcBorders>
              <w:bottom w:val="single" w:sz="8" w:color="auto"/>
            </w:tcBorders>
          </w:tcPr>
          <w:p>
            <w:pPr>
              <w:spacing w:after="0"/>
              <w:rPr>
                <w:sz w:val="19"/>
                <w:szCs w:val="19"/>
                <w:color w:val="auto"/>
              </w:rPr>
            </w:pPr>
          </w:p>
        </w:tc>
        <w:tc>
          <w:tcPr>
            <w:tcW w:w="9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5660" w:right="2160" w:hanging="5652"/>
        <w:spacing w:after="0" w:line="528" w:lineRule="auto"/>
        <w:tabs>
          <w:tab w:leader="none" w:pos="134"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 is based upon 220,119,343 ordinary shares outstanding of Opera Limited (the “Issuer”) as of the date of this filing.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68373M107</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auto"/>
              <w:right w:val="single" w:sz="8" w:color="auto"/>
            </w:tcBorders>
          </w:tcPr>
          <w:p>
            <w:pPr>
              <w:ind w:left="400"/>
              <w:spacing w:after="0" w:line="199" w:lineRule="exact"/>
              <w:rPr>
                <w:sz w:val="20"/>
                <w:szCs w:val="20"/>
                <w:color w:val="auto"/>
              </w:rPr>
            </w:pPr>
            <w:r>
              <w:rPr>
                <w:rFonts w:ascii="Arial" w:cs="Arial" w:eastAsia="Arial" w:hAnsi="Arial"/>
                <w:sz w:val="18"/>
                <w:szCs w:val="18"/>
                <w:color w:val="auto"/>
              </w:rPr>
              <w:t>1</w:t>
            </w:r>
          </w:p>
        </w:tc>
        <w:tc>
          <w:tcPr>
            <w:tcW w:w="1038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Qisi (HK) Technology Co. Limited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380" w:type="dxa"/>
            <w:vAlign w:val="bottom"/>
            <w:tcBorders>
              <w:right w:val="single" w:sz="8" w:color="auto"/>
            </w:tcBorders>
            <w:gridSpan w:val="3"/>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Person With</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46,750,000</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103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11</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2"/>
              </w:rPr>
              <w:t>21.2%*</w:t>
            </w:r>
          </w:p>
        </w:tc>
        <w:tc>
          <w:tcPr>
            <w:tcW w:w="5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12</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560" w:type="dxa"/>
            <w:vAlign w:val="bottom"/>
            <w:tcBorders>
              <w:bottom w:val="single" w:sz="8" w:color="auto"/>
            </w:tcBorders>
          </w:tcPr>
          <w:p>
            <w:pPr>
              <w:spacing w:after="0"/>
              <w:rPr>
                <w:sz w:val="19"/>
                <w:szCs w:val="19"/>
                <w:color w:val="auto"/>
              </w:rPr>
            </w:pPr>
          </w:p>
        </w:tc>
        <w:tc>
          <w:tcPr>
            <w:tcW w:w="9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5660" w:right="3540" w:hanging="5652"/>
        <w:spacing w:after="0" w:line="528" w:lineRule="auto"/>
        <w:tabs>
          <w:tab w:leader="none" w:pos="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Calculation is based upon 220,119,343 ordinary shares outstanding of the Issuer as of the date of this filing.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68373M107</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auto"/>
              <w:right w:val="single" w:sz="8" w:color="auto"/>
            </w:tcBorders>
          </w:tcPr>
          <w:p>
            <w:pPr>
              <w:ind w:left="400"/>
              <w:spacing w:after="0" w:line="199" w:lineRule="exact"/>
              <w:rPr>
                <w:sz w:val="20"/>
                <w:szCs w:val="20"/>
                <w:color w:val="auto"/>
              </w:rPr>
            </w:pPr>
            <w:r>
              <w:rPr>
                <w:rFonts w:ascii="Arial" w:cs="Arial" w:eastAsia="Arial" w:hAnsi="Arial"/>
                <w:sz w:val="18"/>
                <w:szCs w:val="18"/>
                <w:color w:val="auto"/>
              </w:rPr>
              <w:t>1</w:t>
            </w:r>
          </w:p>
        </w:tc>
        <w:tc>
          <w:tcPr>
            <w:tcW w:w="1038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360 Technology Co. Limited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380" w:type="dxa"/>
            <w:vAlign w:val="bottom"/>
            <w:tcBorders>
              <w:right w:val="single" w:sz="8" w:color="auto"/>
            </w:tcBorders>
            <w:gridSpan w:val="3"/>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Person With</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46,750,000</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103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11</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2"/>
              </w:rPr>
              <w:t>21.2%*</w:t>
            </w:r>
          </w:p>
        </w:tc>
        <w:tc>
          <w:tcPr>
            <w:tcW w:w="5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12</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560" w:type="dxa"/>
            <w:vAlign w:val="bottom"/>
            <w:tcBorders>
              <w:bottom w:val="single" w:sz="8" w:color="auto"/>
            </w:tcBorders>
          </w:tcPr>
          <w:p>
            <w:pPr>
              <w:spacing w:after="0"/>
              <w:rPr>
                <w:sz w:val="19"/>
                <w:szCs w:val="19"/>
                <w:color w:val="auto"/>
              </w:rPr>
            </w:pPr>
          </w:p>
        </w:tc>
        <w:tc>
          <w:tcPr>
            <w:tcW w:w="9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60" w:right="3540" w:hanging="5652"/>
        <w:spacing w:after="0" w:line="528" w:lineRule="auto"/>
        <w:tabs>
          <w:tab w:leader="none" w:pos="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Calculation is based upon 220,119,343 ordinary shares outstanding of the Issuer as of the date of this filing.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68373M107</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auto"/>
              <w:right w:val="single" w:sz="8" w:color="auto"/>
            </w:tcBorders>
          </w:tcPr>
          <w:p>
            <w:pPr>
              <w:ind w:left="400"/>
              <w:spacing w:after="0" w:line="199" w:lineRule="exact"/>
              <w:rPr>
                <w:sz w:val="20"/>
                <w:szCs w:val="20"/>
                <w:color w:val="auto"/>
              </w:rPr>
            </w:pPr>
            <w:r>
              <w:rPr>
                <w:rFonts w:ascii="Arial" w:cs="Arial" w:eastAsia="Arial" w:hAnsi="Arial"/>
                <w:sz w:val="18"/>
                <w:szCs w:val="18"/>
                <w:color w:val="auto"/>
              </w:rPr>
              <w:t>1</w:t>
            </w:r>
          </w:p>
        </w:tc>
        <w:tc>
          <w:tcPr>
            <w:tcW w:w="1038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360 Security Technology Inc.</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380" w:type="dxa"/>
            <w:vAlign w:val="bottom"/>
            <w:tcBorders>
              <w:right w:val="single" w:sz="8" w:color="auto"/>
            </w:tcBorders>
            <w:gridSpan w:val="3"/>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Person With</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46,750,000</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103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11</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2"/>
              </w:rPr>
              <w:t>21.2%*</w:t>
            </w:r>
          </w:p>
        </w:tc>
        <w:tc>
          <w:tcPr>
            <w:tcW w:w="5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12</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560" w:type="dxa"/>
            <w:vAlign w:val="bottom"/>
            <w:tcBorders>
              <w:bottom w:val="single" w:sz="8" w:color="auto"/>
            </w:tcBorders>
          </w:tcPr>
          <w:p>
            <w:pPr>
              <w:spacing w:after="0"/>
              <w:rPr>
                <w:sz w:val="19"/>
                <w:szCs w:val="19"/>
                <w:color w:val="auto"/>
              </w:rPr>
            </w:pPr>
          </w:p>
        </w:tc>
        <w:tc>
          <w:tcPr>
            <w:tcW w:w="9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5660" w:right="3540" w:hanging="5652"/>
        <w:spacing w:after="0" w:line="528" w:lineRule="auto"/>
        <w:tabs>
          <w:tab w:leader="none" w:pos="13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Calculation is based upon 220,119,343 ordinary shares outstanding of the Issuer as of the date of this filing.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68373M107</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auto"/>
              <w:right w:val="single" w:sz="8" w:color="auto"/>
            </w:tcBorders>
          </w:tcPr>
          <w:p>
            <w:pPr>
              <w:ind w:left="400"/>
              <w:spacing w:after="0" w:line="199" w:lineRule="exact"/>
              <w:rPr>
                <w:sz w:val="20"/>
                <w:szCs w:val="20"/>
                <w:color w:val="auto"/>
              </w:rPr>
            </w:pPr>
            <w:r>
              <w:rPr>
                <w:rFonts w:ascii="Arial" w:cs="Arial" w:eastAsia="Arial" w:hAnsi="Arial"/>
                <w:sz w:val="18"/>
                <w:szCs w:val="18"/>
                <w:color w:val="auto"/>
              </w:rPr>
              <w:t>1</w:t>
            </w:r>
          </w:p>
        </w:tc>
        <w:tc>
          <w:tcPr>
            <w:tcW w:w="1038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Hongyi Zhou</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380" w:type="dxa"/>
            <w:vAlign w:val="bottom"/>
            <w:tcBorders>
              <w:right w:val="single" w:sz="8" w:color="auto"/>
            </w:tcBorders>
            <w:gridSpan w:val="3"/>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46,750,000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Person With</w:t>
            </w:r>
          </w:p>
        </w:tc>
        <w:tc>
          <w:tcPr>
            <w:tcW w:w="58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9</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46,750,000</w:t>
            </w: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10</w:t>
            </w:r>
          </w:p>
        </w:tc>
        <w:tc>
          <w:tcPr>
            <w:tcW w:w="103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103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11</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2"/>
              </w:rPr>
              <w:t>21.2%*</w:t>
            </w:r>
          </w:p>
        </w:tc>
        <w:tc>
          <w:tcPr>
            <w:tcW w:w="5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3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12</w:t>
            </w:r>
          </w:p>
        </w:tc>
        <w:tc>
          <w:tcPr>
            <w:tcW w:w="103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560" w:type="dxa"/>
            <w:vAlign w:val="bottom"/>
            <w:tcBorders>
              <w:bottom w:val="single" w:sz="8" w:color="auto"/>
            </w:tcBorders>
          </w:tcPr>
          <w:p>
            <w:pPr>
              <w:spacing w:after="0"/>
              <w:rPr>
                <w:sz w:val="19"/>
                <w:szCs w:val="19"/>
                <w:color w:val="auto"/>
              </w:rPr>
            </w:pPr>
          </w:p>
        </w:tc>
        <w:tc>
          <w:tcPr>
            <w:tcW w:w="9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5660" w:right="3540" w:hanging="5652"/>
        <w:spacing w:after="0" w:line="528"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Calculation is based upon 220,119,343 ordinary shares outstanding of the Issuer as of the date of this filing.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Opera Limited (the “Issuer”)</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Gjerdrums vei 19, 0484 Oslo,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500" w:right="180" w:hanging="34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Qifei International Development Co., Ltd., a limited liability company incorporated in Hong Kong (“Qifei”), directly holds 46,750,000 ordinary shares of the Issuer.</w:t>
      </w:r>
    </w:p>
    <w:p>
      <w:pPr>
        <w:spacing w:after="0" w:line="170" w:lineRule="exact"/>
        <w:rPr>
          <w:rFonts w:ascii="Arial" w:cs="Arial" w:eastAsia="Arial" w:hAnsi="Arial"/>
          <w:sz w:val="18"/>
          <w:szCs w:val="18"/>
          <w:color w:val="auto"/>
        </w:rPr>
      </w:pPr>
    </w:p>
    <w:p>
      <w:pPr>
        <w:ind w:left="1500" w:right="20" w:hanging="34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Qisi (HK) Technology Co. Limited, a limited liability company incorporated in Hong Kong (“Qisi”), holds 100% of the equity interest of Qifei.</w:t>
      </w:r>
    </w:p>
    <w:p>
      <w:pPr>
        <w:spacing w:after="0" w:line="170" w:lineRule="exact"/>
        <w:rPr>
          <w:rFonts w:ascii="Arial" w:cs="Arial" w:eastAsia="Arial" w:hAnsi="Arial"/>
          <w:sz w:val="18"/>
          <w:szCs w:val="18"/>
          <w:color w:val="auto"/>
        </w:rPr>
      </w:pPr>
    </w:p>
    <w:p>
      <w:pPr>
        <w:ind w:left="1500" w:right="400" w:hanging="34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360 Technology Co. Limited, a limited liability company incorporated in the People’s Republic of China (“360 Technology”), holds 100% of the equity interest of Qisi.</w:t>
      </w:r>
    </w:p>
    <w:p>
      <w:pPr>
        <w:spacing w:after="0" w:line="170" w:lineRule="exact"/>
        <w:rPr>
          <w:rFonts w:ascii="Arial" w:cs="Arial" w:eastAsia="Arial" w:hAnsi="Arial"/>
          <w:sz w:val="18"/>
          <w:szCs w:val="18"/>
          <w:color w:val="auto"/>
        </w:rPr>
      </w:pPr>
    </w:p>
    <w:p>
      <w:pPr>
        <w:ind w:left="1500" w:right="200" w:hanging="34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360 Security Technology Inc., a company incorporated in the People’s Republic of China (“360 Security Technology”), holds 100% of the equity interest of 360 Technology.</w:t>
      </w:r>
    </w:p>
    <w:p>
      <w:pPr>
        <w:spacing w:after="0" w:line="170" w:lineRule="exact"/>
        <w:rPr>
          <w:rFonts w:ascii="Arial" w:cs="Arial" w:eastAsia="Arial" w:hAnsi="Arial"/>
          <w:sz w:val="18"/>
          <w:szCs w:val="18"/>
          <w:color w:val="auto"/>
        </w:rPr>
      </w:pPr>
    </w:p>
    <w:p>
      <w:pPr>
        <w:ind w:left="1500" w:hanging="34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Hongyi Zhou, the chairman and chief executive officer of 360 Security Technology, beneficially owns 23.4% of the equity interest of 360 Security Technology and beneficially owns 46,750,000 ordinary shares of the Issuer.</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 Qifei:</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Flat 402, Jardine House, 1 Connaught Place, Central, Hong Kong</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 Qisi, 360 Technology, 360 Security Technology and Hongyi Zhou:</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360 Building, No. 6 Jiuxianqiao Road, Chaoyang District, Beijing 100015, People's Republic of China</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jc w:val="center"/>
        <w:ind w:right="8120"/>
        <w:spacing w:after="0"/>
        <w:rPr>
          <w:sz w:val="20"/>
          <w:szCs w:val="20"/>
          <w:color w:val="auto"/>
        </w:rPr>
      </w:pPr>
      <w:r>
        <w:rPr>
          <w:rFonts w:ascii="Arial" w:cs="Arial" w:eastAsia="Arial" w:hAnsi="Arial"/>
          <w:sz w:val="18"/>
          <w:szCs w:val="18"/>
          <w:color w:val="auto"/>
        </w:rPr>
        <w:t>See Item 2(a)</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Ordinary shares of the Issuer, par value US$0.0001 per share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68373M107 (American depositary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persons filing is a:</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4.</w:t>
            </w:r>
          </w:p>
        </w:tc>
        <w:tc>
          <w:tcPr>
            <w:tcW w:w="1960" w:type="dxa"/>
            <w:vAlign w:val="bottom"/>
          </w:tcPr>
          <w:p>
            <w:pPr>
              <w:ind w:left="600"/>
              <w:spacing w:after="0"/>
              <w:rPr>
                <w:sz w:val="20"/>
                <w:szCs w:val="20"/>
                <w:color w:val="auto"/>
              </w:rPr>
            </w:pPr>
            <w:r>
              <w:rPr>
                <w:rFonts w:ascii="Arial" w:cs="Arial" w:eastAsia="Arial" w:hAnsi="Arial"/>
                <w:sz w:val="18"/>
                <w:szCs w:val="18"/>
                <w:b w:val="1"/>
                <w:bCs w:val="1"/>
                <w:color w:val="auto"/>
              </w:rPr>
              <w:t>Ownership:</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Shared power</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Percent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Shared power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Sole power to</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1"/>
              </w:rPr>
              <w:t>Amount</w:t>
            </w:r>
          </w:p>
        </w:tc>
        <w:tc>
          <w:tcPr>
            <w:tcW w:w="1500" w:type="dxa"/>
            <w:vAlign w:val="bottom"/>
            <w:gridSpan w:val="2"/>
            <w:vMerge w:val="continue"/>
          </w:tcPr>
          <w:p>
            <w:pPr>
              <w:spacing w:after="0"/>
              <w:rPr>
                <w:sz w:val="15"/>
                <w:szCs w:val="15"/>
                <w:color w:val="auto"/>
              </w:rPr>
            </w:pPr>
          </w:p>
        </w:tc>
        <w:tc>
          <w:tcPr>
            <w:tcW w:w="14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8"/>
              </w:rPr>
              <w:t>Sole power to</w:t>
            </w: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2"/>
              </w:rPr>
              <w:t>to</w:t>
            </w: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6"/>
              </w:rPr>
              <w:t>dispose or to</w:t>
            </w:r>
          </w:p>
        </w:tc>
        <w:tc>
          <w:tcPr>
            <w:tcW w:w="1300" w:type="dxa"/>
            <w:vAlign w:val="bottom"/>
            <w:gridSpan w:val="2"/>
          </w:tcPr>
          <w:p>
            <w:pPr>
              <w:jc w:val="center"/>
              <w:ind w:right="60"/>
              <w:spacing w:after="0" w:line="181" w:lineRule="exact"/>
              <w:rPr>
                <w:sz w:val="20"/>
                <w:szCs w:val="20"/>
                <w:color w:val="auto"/>
              </w:rPr>
            </w:pPr>
            <w:r>
              <w:rPr>
                <w:rFonts w:ascii="Arial" w:cs="Arial" w:eastAsia="Arial" w:hAnsi="Arial"/>
                <w:sz w:val="18"/>
                <w:szCs w:val="18"/>
                <w:b w:val="1"/>
                <w:bCs w:val="1"/>
                <w:color w:val="auto"/>
                <w:w w:val="84"/>
              </w:rPr>
              <w:t>dispose or to</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 or direct</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 or to direct</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direct the</w:t>
            </w:r>
          </w:p>
        </w:tc>
        <w:tc>
          <w:tcPr>
            <w:tcW w:w="13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direct the</w:t>
            </w: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Reporting Person</w:t>
            </w:r>
          </w:p>
        </w:tc>
        <w:tc>
          <w:tcPr>
            <w:tcW w:w="120" w:type="dxa"/>
            <w:vAlign w:val="bottom"/>
          </w:tcPr>
          <w:p>
            <w:pPr>
              <w:spacing w:after="0"/>
              <w:rPr>
                <w:sz w:val="23"/>
                <w:szCs w:val="2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owned:</w:t>
            </w:r>
          </w:p>
        </w:tc>
        <w:tc>
          <w:tcPr>
            <w:tcW w:w="1500" w:type="dxa"/>
            <w:vAlign w:val="bottom"/>
            <w:gridSpan w:val="2"/>
          </w:tcPr>
          <w:p>
            <w:pPr>
              <w:jc w:val="center"/>
              <w:ind w:right="260"/>
              <w:spacing w:after="0" w:line="269" w:lineRule="exact"/>
              <w:rPr>
                <w:sz w:val="20"/>
                <w:szCs w:val="20"/>
                <w:color w:val="auto"/>
              </w:rPr>
            </w:pPr>
            <w:r>
              <w:rPr>
                <w:rFonts w:ascii="Arial" w:cs="Arial" w:eastAsia="Arial" w:hAnsi="Arial"/>
                <w:sz w:val="18"/>
                <w:szCs w:val="18"/>
                <w:b w:val="1"/>
                <w:bCs w:val="1"/>
                <w:color w:val="auto"/>
                <w:w w:val="79"/>
              </w:rPr>
              <w:t>class</w:t>
            </w:r>
            <w:r>
              <w:rPr>
                <w:rFonts w:ascii="Arial" w:cs="Arial" w:eastAsia="Arial" w:hAnsi="Arial"/>
                <w:sz w:val="30"/>
                <w:szCs w:val="30"/>
                <w:b w:val="1"/>
                <w:bCs w:val="1"/>
                <w:color w:val="auto"/>
                <w:w w:val="79"/>
                <w:vertAlign w:val="superscript"/>
              </w:rPr>
              <w:t>(1)</w:t>
            </w:r>
            <w:r>
              <w:rPr>
                <w:rFonts w:ascii="Arial" w:cs="Arial" w:eastAsia="Arial" w:hAnsi="Arial"/>
                <w:sz w:val="18"/>
                <w:szCs w:val="18"/>
                <w:b w:val="1"/>
                <w:bCs w:val="1"/>
                <w:color w:val="auto"/>
                <w:w w:val="79"/>
              </w:rPr>
              <w:t>:</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the vote: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the vote: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disposition of:</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disposition of:</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Qifei</w:t>
            </w:r>
          </w:p>
        </w:tc>
        <w:tc>
          <w:tcPr>
            <w:tcW w:w="196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46,750,000</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46,750,000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0"/>
                <w:szCs w:val="20"/>
                <w:color w:val="auto"/>
              </w:rPr>
            </w:pPr>
            <w:r>
              <w:rPr>
                <w:rFonts w:ascii="Arial" w:cs="Arial" w:eastAsia="Arial" w:hAnsi="Arial"/>
                <w:sz w:val="18"/>
                <w:szCs w:val="18"/>
                <w:color w:val="auto"/>
              </w:rPr>
              <w:t>Qisi</w:t>
            </w:r>
          </w:p>
        </w:tc>
        <w:tc>
          <w:tcPr>
            <w:tcW w:w="1960" w:type="dxa"/>
            <w:vAlign w:val="bottom"/>
          </w:tcPr>
          <w:p>
            <w:pPr>
              <w:spacing w:after="0"/>
              <w:rPr>
                <w:sz w:val="22"/>
                <w:szCs w:val="22"/>
                <w:color w:val="auto"/>
              </w:rPr>
            </w:pPr>
          </w:p>
        </w:tc>
        <w:tc>
          <w:tcPr>
            <w:tcW w:w="1720" w:type="dxa"/>
            <w:vAlign w:val="bottom"/>
            <w:gridSpan w:val="3"/>
          </w:tcPr>
          <w:p>
            <w:pPr>
              <w:jc w:val="right"/>
              <w:ind w:right="160"/>
              <w:spacing w:after="0" w:line="256" w:lineRule="exact"/>
              <w:rPr>
                <w:sz w:val="20"/>
                <w:szCs w:val="20"/>
                <w:color w:val="auto"/>
              </w:rPr>
            </w:pPr>
            <w:r>
              <w:rPr>
                <w:rFonts w:ascii="Arial" w:cs="Arial" w:eastAsia="Arial" w:hAnsi="Arial"/>
                <w:sz w:val="18"/>
                <w:szCs w:val="18"/>
                <w:color w:val="auto"/>
              </w:rPr>
              <w:t>46,750,000</w:t>
            </w:r>
            <w:r>
              <w:rPr>
                <w:rFonts w:ascii="Arial" w:cs="Arial" w:eastAsia="Arial" w:hAnsi="Arial"/>
                <w:sz w:val="29"/>
                <w:szCs w:val="29"/>
                <w:color w:val="auto"/>
                <w:vertAlign w:val="superscript"/>
              </w:rPr>
              <w:t>(2)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46,750,000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46,750,000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360 Technology</w:t>
            </w:r>
          </w:p>
        </w:tc>
        <w:tc>
          <w:tcPr>
            <w:tcW w:w="172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46,750,000</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46,750,000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2520" w:type="dxa"/>
            <w:vAlign w:val="bottom"/>
            <w:gridSpan w:val="2"/>
          </w:tcPr>
          <w:p>
            <w:pPr>
              <w:spacing w:after="0"/>
              <w:rPr>
                <w:sz w:val="20"/>
                <w:szCs w:val="20"/>
                <w:color w:val="auto"/>
              </w:rPr>
            </w:pPr>
            <w:r>
              <w:rPr>
                <w:rFonts w:ascii="Arial" w:cs="Arial" w:eastAsia="Arial" w:hAnsi="Arial"/>
                <w:sz w:val="18"/>
                <w:szCs w:val="18"/>
                <w:color w:val="auto"/>
              </w:rPr>
              <w:t>360 Security Technology</w:t>
            </w:r>
          </w:p>
        </w:tc>
        <w:tc>
          <w:tcPr>
            <w:tcW w:w="1720" w:type="dxa"/>
            <w:vAlign w:val="bottom"/>
            <w:gridSpan w:val="3"/>
          </w:tcPr>
          <w:p>
            <w:pPr>
              <w:jc w:val="right"/>
              <w:ind w:right="160"/>
              <w:spacing w:after="0" w:line="256" w:lineRule="exact"/>
              <w:rPr>
                <w:sz w:val="20"/>
                <w:szCs w:val="20"/>
                <w:color w:val="auto"/>
              </w:rPr>
            </w:pPr>
            <w:r>
              <w:rPr>
                <w:rFonts w:ascii="Arial" w:cs="Arial" w:eastAsia="Arial" w:hAnsi="Arial"/>
                <w:sz w:val="18"/>
                <w:szCs w:val="18"/>
                <w:color w:val="auto"/>
              </w:rPr>
              <w:t>46,750,000</w:t>
            </w:r>
            <w:r>
              <w:rPr>
                <w:rFonts w:ascii="Arial" w:cs="Arial" w:eastAsia="Arial" w:hAnsi="Arial"/>
                <w:sz w:val="29"/>
                <w:szCs w:val="29"/>
                <w:color w:val="auto"/>
                <w:vertAlign w:val="superscript"/>
              </w:rPr>
              <w:t>(2)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46,750,000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46,750,000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Hongyi Zhou</w:t>
            </w:r>
          </w:p>
        </w:tc>
        <w:tc>
          <w:tcPr>
            <w:tcW w:w="172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46,750,000</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46,750,000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9805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0565" cy="2540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274320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right="40" w:hanging="4"/>
        <w:spacing w:after="0" w:line="277"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percentage of 220,119,343 ordinary shares of the Issuer as of the date of this filing. Each holder of ordinary shares is entitled to one vote per share.</w:t>
      </w:r>
    </w:p>
    <w:p>
      <w:pPr>
        <w:spacing w:after="0" w:line="170" w:lineRule="exact"/>
        <w:rPr>
          <w:rFonts w:ascii="Arial" w:cs="Arial" w:eastAsia="Arial" w:hAnsi="Arial"/>
          <w:sz w:val="18"/>
          <w:szCs w:val="18"/>
          <w:color w:val="auto"/>
        </w:rPr>
      </w:pPr>
    </w:p>
    <w:p>
      <w:pPr>
        <w:ind w:left="660" w:right="440" w:hanging="4"/>
        <w:spacing w:after="0" w:line="264"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46,750,000 ordinary shares of the Issuer directly held by Qifei, which is wholly owned by Qisi, which is wholly owned by 360 Technology. 360 Technology is wholly owned by 360 Security Technology, a company in which Hongyi Zhou serves as the chairman and chief executive officer.</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ind w:left="1160" w:right="120" w:hanging="1147"/>
        <w:spacing w:after="0" w:line="261"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Controlling Person:</w:t>
      </w: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640" w:space="520"/>
            <w:col w:w="10260"/>
          </w:cols>
          <w:pgMar w:left="240" w:top="580"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right"/>
        <w:ind w:right="3699"/>
        <w:spacing w:after="0"/>
        <w:rPr>
          <w:sz w:val="20"/>
          <w:szCs w:val="20"/>
          <w:color w:val="auto"/>
        </w:rPr>
      </w:pPr>
      <w:r>
        <w:rPr>
          <w:rFonts w:ascii="Arial" w:cs="Arial" w:eastAsia="Arial" w:hAnsi="Arial"/>
          <w:sz w:val="18"/>
          <w:szCs w:val="18"/>
          <w:b w:val="1"/>
          <w:bCs w:val="1"/>
          <w:color w:val="auto"/>
        </w:rPr>
        <w:t>LIST OF EXHIBITS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79"/>
          </w:cols>
          <w:pgMar w:left="380" w:top="580" w:right="1440" w:bottom="1440" w:gutter="0" w:footer="0" w:header="0"/>
        </w:sectPr>
      </w:pPr>
    </w:p>
    <w:bookmarkStart w:id="9" w:name="page10"/>
    <w:bookmarkEnd w:id="9"/>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00" w:lineRule="exact"/>
        <w:rPr>
          <w:sz w:val="20"/>
          <w:szCs w:val="20"/>
          <w:color w:val="auto"/>
        </w:rPr>
      </w:pPr>
    </w:p>
    <w:p>
      <w:pPr>
        <w:spacing w:after="0" w:line="23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Qifei International Development Co., Ltd.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Qisi (HK) Technology Co. Limited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360 Technology Co. Limited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360 Security Technology Inc.</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Hongyi Zhou</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120"/>
          </w:cols>
          <w:pgMar w:left="240" w:top="584" w:right="5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firstLine="389"/>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shares of ordinary shares, par value of $0.0001 per share, of Opera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undersigned hereby execute this Agreement as of February 14,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Qifei International Development Co., Ltd.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Qisi (HK) Technology Co. Limited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360 Technology Co. Limited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360 Security Technology Inc.</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Hongyi Zhou</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By:/s/ Hongyi Zhou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2019-12-21T03:10:06Z</dcterms:created>
  <dcterms:modified xsi:type="dcterms:W3CDTF">2019-12-21T03:10:06Z</dcterms:modified>
</cp:coreProperties>
</file>